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E8C26" w14:textId="61A0BC38" w:rsidR="001A7CBC" w:rsidRPr="00225FE1" w:rsidRDefault="00225FE1" w:rsidP="00F0662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25FE1">
        <w:rPr>
          <w:rFonts w:ascii="Arial" w:hAnsi="Arial" w:cs="Arial"/>
          <w:b/>
          <w:sz w:val="32"/>
          <w:szCs w:val="32"/>
        </w:rPr>
        <w:t>SESAC General Meeting</w:t>
      </w:r>
      <w:r w:rsidR="00524573">
        <w:rPr>
          <w:rFonts w:ascii="Arial" w:hAnsi="Arial" w:cs="Arial"/>
          <w:b/>
          <w:sz w:val="32"/>
          <w:szCs w:val="32"/>
        </w:rPr>
        <w:t xml:space="preserve"> Minutes</w:t>
      </w:r>
    </w:p>
    <w:p w14:paraId="7B6EE035" w14:textId="56A72490" w:rsidR="005D2D58" w:rsidRPr="00F06626" w:rsidRDefault="001D1AEA" w:rsidP="00F06626">
      <w:pPr>
        <w:spacing w:after="120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January 28, 2021</w:t>
      </w:r>
    </w:p>
    <w:p w14:paraId="1971ACED" w14:textId="344A7529" w:rsidR="00225FE1" w:rsidRPr="00F06626" w:rsidRDefault="00225FE1" w:rsidP="00F06626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F06626">
        <w:rPr>
          <w:rFonts w:ascii="Arial" w:hAnsi="Arial" w:cs="Arial"/>
          <w:sz w:val="21"/>
          <w:szCs w:val="21"/>
        </w:rPr>
        <w:t>1</w:t>
      </w:r>
      <w:r w:rsidR="00261124">
        <w:rPr>
          <w:rFonts w:ascii="Arial" w:hAnsi="Arial" w:cs="Arial"/>
          <w:sz w:val="21"/>
          <w:szCs w:val="21"/>
        </w:rPr>
        <w:t>0</w:t>
      </w:r>
      <w:r w:rsidRPr="00F06626">
        <w:rPr>
          <w:rFonts w:ascii="Arial" w:hAnsi="Arial" w:cs="Arial"/>
          <w:sz w:val="21"/>
          <w:szCs w:val="21"/>
        </w:rPr>
        <w:t>:00am-1</w:t>
      </w:r>
      <w:r w:rsidR="00261124">
        <w:rPr>
          <w:rFonts w:ascii="Arial" w:hAnsi="Arial" w:cs="Arial"/>
          <w:sz w:val="21"/>
          <w:szCs w:val="21"/>
        </w:rPr>
        <w:t>:00</w:t>
      </w:r>
      <w:r w:rsidRPr="00F06626">
        <w:rPr>
          <w:rFonts w:ascii="Arial" w:hAnsi="Arial" w:cs="Arial"/>
          <w:sz w:val="21"/>
          <w:szCs w:val="21"/>
        </w:rPr>
        <w:t>pm</w:t>
      </w:r>
    </w:p>
    <w:p w14:paraId="7F4C6592" w14:textId="63FB3C62" w:rsidR="00524573" w:rsidRDefault="00524573" w:rsidP="00524573">
      <w:pPr>
        <w:spacing w:before="240" w:after="120"/>
        <w:rPr>
          <w:rFonts w:ascii="Arial" w:hAnsi="Arial" w:cs="Arial"/>
          <w:sz w:val="21"/>
          <w:szCs w:val="21"/>
        </w:rPr>
      </w:pPr>
      <w:r w:rsidRPr="00524573">
        <w:rPr>
          <w:rFonts w:ascii="Arial" w:hAnsi="Arial" w:cs="Arial"/>
          <w:b/>
          <w:sz w:val="21"/>
          <w:szCs w:val="21"/>
        </w:rPr>
        <w:t xml:space="preserve">Attendees: </w:t>
      </w:r>
      <w:r w:rsidRPr="00524573">
        <w:rPr>
          <w:rFonts w:ascii="Arial" w:hAnsi="Arial" w:cs="Arial"/>
          <w:sz w:val="21"/>
          <w:szCs w:val="21"/>
        </w:rPr>
        <w:t>Pamela Talley(Co-Chair), Lea</w:t>
      </w:r>
      <w:r w:rsidR="006F4BDE">
        <w:rPr>
          <w:rFonts w:ascii="Arial" w:hAnsi="Arial" w:cs="Arial"/>
          <w:sz w:val="21"/>
          <w:szCs w:val="21"/>
        </w:rPr>
        <w:t>nne Carmona (Co-Chair), Marge</w:t>
      </w:r>
      <w:r w:rsidRPr="0052457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573">
        <w:rPr>
          <w:rFonts w:ascii="Arial" w:hAnsi="Arial" w:cs="Arial"/>
          <w:sz w:val="21"/>
          <w:szCs w:val="21"/>
        </w:rPr>
        <w:t>Guldan</w:t>
      </w:r>
      <w:proofErr w:type="spellEnd"/>
      <w:r w:rsidRPr="00524573">
        <w:rPr>
          <w:rFonts w:ascii="Arial" w:hAnsi="Arial" w:cs="Arial"/>
          <w:sz w:val="21"/>
          <w:szCs w:val="21"/>
        </w:rPr>
        <w:t xml:space="preserve"> (Co-Vice-Chair), Wendy </w:t>
      </w:r>
      <w:proofErr w:type="spellStart"/>
      <w:r w:rsidRPr="00524573">
        <w:rPr>
          <w:rFonts w:ascii="Arial" w:hAnsi="Arial" w:cs="Arial"/>
          <w:sz w:val="21"/>
          <w:szCs w:val="21"/>
        </w:rPr>
        <w:t>Balda</w:t>
      </w:r>
      <w:proofErr w:type="spellEnd"/>
      <w:r w:rsidRPr="00524573">
        <w:rPr>
          <w:rFonts w:ascii="Arial" w:hAnsi="Arial" w:cs="Arial"/>
          <w:sz w:val="21"/>
          <w:szCs w:val="21"/>
        </w:rPr>
        <w:t xml:space="preserve"> (Co-Vice-Chair), </w:t>
      </w:r>
      <w:r w:rsidR="00B7696D">
        <w:rPr>
          <w:rFonts w:ascii="Arial" w:hAnsi="Arial" w:cs="Arial"/>
          <w:sz w:val="21"/>
          <w:szCs w:val="21"/>
        </w:rPr>
        <w:t xml:space="preserve">Melissa Surgeon, Rachel </w:t>
      </w:r>
      <w:proofErr w:type="spellStart"/>
      <w:r w:rsidR="00B7696D">
        <w:rPr>
          <w:rFonts w:ascii="Arial" w:hAnsi="Arial" w:cs="Arial"/>
          <w:sz w:val="21"/>
          <w:szCs w:val="21"/>
        </w:rPr>
        <w:t>Stoyanov</w:t>
      </w:r>
      <w:proofErr w:type="spellEnd"/>
      <w:r w:rsidR="00B7696D">
        <w:rPr>
          <w:rFonts w:ascii="Arial" w:hAnsi="Arial" w:cs="Arial"/>
          <w:sz w:val="21"/>
          <w:szCs w:val="21"/>
        </w:rPr>
        <w:t>, Dorie Flynn, Rita Lung, Jill Hill, Kathy Kaufman, Rene Averitt-</w:t>
      </w:r>
      <w:proofErr w:type="spellStart"/>
      <w:r w:rsidR="00B7696D">
        <w:rPr>
          <w:rFonts w:ascii="Arial" w:hAnsi="Arial" w:cs="Arial"/>
          <w:sz w:val="21"/>
          <w:szCs w:val="21"/>
        </w:rPr>
        <w:t>Sanzone</w:t>
      </w:r>
      <w:proofErr w:type="spellEnd"/>
      <w:r w:rsidR="00B7696D">
        <w:rPr>
          <w:rFonts w:ascii="Arial" w:hAnsi="Arial" w:cs="Arial"/>
          <w:sz w:val="21"/>
          <w:szCs w:val="21"/>
        </w:rPr>
        <w:t xml:space="preserve">, Sue </w:t>
      </w:r>
      <w:proofErr w:type="spellStart"/>
      <w:r w:rsidR="00B7696D">
        <w:rPr>
          <w:rFonts w:ascii="Arial" w:hAnsi="Arial" w:cs="Arial"/>
          <w:sz w:val="21"/>
          <w:szCs w:val="21"/>
        </w:rPr>
        <w:t>Rattman</w:t>
      </w:r>
      <w:proofErr w:type="spellEnd"/>
      <w:r w:rsidR="00B7696D">
        <w:rPr>
          <w:rFonts w:ascii="Arial" w:hAnsi="Arial" w:cs="Arial"/>
          <w:sz w:val="21"/>
          <w:szCs w:val="21"/>
        </w:rPr>
        <w:t>, Tai Dillard, Katherine Lander, Jade Gingerich, Dawn Greenberg, Emily Dow, Tiffany Williams, Martha Goodman</w:t>
      </w:r>
    </w:p>
    <w:p w14:paraId="46B121DA" w14:textId="3DFF98E3" w:rsidR="00B10058" w:rsidRPr="00EA183C" w:rsidRDefault="00B10058" w:rsidP="00524573">
      <w:pPr>
        <w:spacing w:before="24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MSDE Presenters: Brian Morrison, Branch Chief, Policy and Accountability, Dori Wilson, Branch Chief, Family Support and Dispute Resolution, Christy Stuart, Section Chief, Secondary Transition, Kenneth </w:t>
      </w:r>
      <w:proofErr w:type="spellStart"/>
      <w:r>
        <w:rPr>
          <w:rFonts w:ascii="Arial" w:hAnsi="Arial" w:cs="Arial"/>
          <w:sz w:val="21"/>
          <w:szCs w:val="21"/>
        </w:rPr>
        <w:t>Huddock</w:t>
      </w:r>
      <w:proofErr w:type="spellEnd"/>
      <w:r>
        <w:rPr>
          <w:rFonts w:ascii="Arial" w:hAnsi="Arial" w:cs="Arial"/>
          <w:sz w:val="21"/>
          <w:szCs w:val="21"/>
        </w:rPr>
        <w:t>, Section Chief, Family Support, Janette Guerra, Section Chief, Early Childhood Intervention</w:t>
      </w:r>
    </w:p>
    <w:p w14:paraId="2AD3ED6E" w14:textId="1846B3E2" w:rsidR="00225FE1" w:rsidRPr="00071CFE" w:rsidRDefault="00071CFE" w:rsidP="00071CFE">
      <w:pPr>
        <w:spacing w:after="120"/>
        <w:rPr>
          <w:rFonts w:ascii="Arial" w:hAnsi="Arial" w:cs="Arial"/>
          <w:sz w:val="21"/>
          <w:szCs w:val="21"/>
        </w:rPr>
      </w:pPr>
      <w:r w:rsidRPr="00071CFE">
        <w:rPr>
          <w:rFonts w:ascii="Arial" w:hAnsi="Arial" w:cs="Arial"/>
          <w:b/>
          <w:sz w:val="21"/>
          <w:szCs w:val="21"/>
        </w:rPr>
        <w:t>Welcome:</w:t>
      </w:r>
      <w:r>
        <w:rPr>
          <w:rFonts w:ascii="Arial" w:hAnsi="Arial" w:cs="Arial"/>
          <w:sz w:val="21"/>
          <w:szCs w:val="21"/>
        </w:rPr>
        <w:t xml:space="preserve"> </w:t>
      </w:r>
      <w:r w:rsidR="00225FE1" w:rsidRPr="00071CFE">
        <w:rPr>
          <w:rFonts w:ascii="Arial" w:hAnsi="Arial" w:cs="Arial"/>
          <w:sz w:val="21"/>
          <w:szCs w:val="21"/>
        </w:rPr>
        <w:t>Pamela Talley</w:t>
      </w:r>
      <w:r w:rsidRPr="00071CFE">
        <w:rPr>
          <w:rFonts w:ascii="Arial" w:hAnsi="Arial" w:cs="Arial"/>
          <w:sz w:val="21"/>
          <w:szCs w:val="21"/>
        </w:rPr>
        <w:t xml:space="preserve"> and </w:t>
      </w:r>
      <w:r w:rsidR="00225FE1" w:rsidRPr="00071CFE">
        <w:rPr>
          <w:rFonts w:ascii="Arial" w:hAnsi="Arial" w:cs="Arial"/>
          <w:sz w:val="21"/>
          <w:szCs w:val="21"/>
        </w:rPr>
        <w:t>Leanne Carmona, SESAC Co-Chairs</w:t>
      </w:r>
      <w:r w:rsidR="000572BB">
        <w:rPr>
          <w:rFonts w:ascii="Arial" w:hAnsi="Arial" w:cs="Arial"/>
          <w:sz w:val="21"/>
          <w:szCs w:val="21"/>
        </w:rPr>
        <w:t xml:space="preserve"> offered welcome</w:t>
      </w:r>
      <w:r w:rsidRPr="00071CFE">
        <w:rPr>
          <w:rFonts w:ascii="Arial" w:hAnsi="Arial" w:cs="Arial"/>
          <w:sz w:val="21"/>
          <w:szCs w:val="21"/>
        </w:rPr>
        <w:t xml:space="preserve"> and introductions for all members and guests on the call.</w:t>
      </w:r>
    </w:p>
    <w:p w14:paraId="699D7ED3" w14:textId="734A61B8" w:rsidR="00BB2C53" w:rsidRDefault="00071CFE" w:rsidP="00071CFE">
      <w:pPr>
        <w:spacing w:after="120"/>
        <w:rPr>
          <w:rFonts w:ascii="Arial" w:hAnsi="Arial" w:cs="Arial"/>
          <w:sz w:val="21"/>
          <w:szCs w:val="21"/>
        </w:rPr>
      </w:pPr>
      <w:r w:rsidRPr="00071CFE">
        <w:rPr>
          <w:rFonts w:ascii="Arial" w:hAnsi="Arial" w:cs="Arial"/>
          <w:b/>
          <w:sz w:val="21"/>
          <w:szCs w:val="21"/>
        </w:rPr>
        <w:t>Public Comment:</w:t>
      </w:r>
      <w:r>
        <w:rPr>
          <w:rFonts w:ascii="Arial" w:hAnsi="Arial" w:cs="Arial"/>
          <w:sz w:val="21"/>
          <w:szCs w:val="21"/>
        </w:rPr>
        <w:t xml:space="preserve"> </w:t>
      </w:r>
      <w:r w:rsidR="00BB2C53" w:rsidRPr="00071CFE">
        <w:rPr>
          <w:rFonts w:ascii="Arial" w:hAnsi="Arial" w:cs="Arial"/>
          <w:sz w:val="21"/>
          <w:szCs w:val="21"/>
        </w:rPr>
        <w:t>Carmen Brown, DEI/SES Interagency Collaboration Branch Chief</w:t>
      </w:r>
      <w:r>
        <w:rPr>
          <w:rFonts w:ascii="Arial" w:hAnsi="Arial" w:cs="Arial"/>
          <w:sz w:val="21"/>
          <w:szCs w:val="21"/>
        </w:rPr>
        <w:t>, noted that no one registered to provide public comment at the meeting.</w:t>
      </w:r>
    </w:p>
    <w:p w14:paraId="0793C02A" w14:textId="3B405C9E" w:rsidR="00533651" w:rsidRDefault="00533651" w:rsidP="00071CFE">
      <w:pPr>
        <w:spacing w:after="120"/>
        <w:rPr>
          <w:rFonts w:ascii="Arial" w:hAnsi="Arial" w:cs="Arial"/>
          <w:b/>
          <w:sz w:val="21"/>
          <w:szCs w:val="21"/>
        </w:rPr>
      </w:pPr>
      <w:r w:rsidRPr="0007433B">
        <w:rPr>
          <w:rFonts w:ascii="Arial" w:hAnsi="Arial" w:cs="Arial"/>
          <w:b/>
          <w:sz w:val="21"/>
          <w:szCs w:val="21"/>
        </w:rPr>
        <w:t>State Performance Plan/Annual Performance Report (SPP/APR) Data Review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B7696D" w:rsidRPr="00B7696D">
        <w:rPr>
          <w:rFonts w:ascii="Arial" w:hAnsi="Arial" w:cs="Arial"/>
          <w:sz w:val="21"/>
          <w:szCs w:val="21"/>
        </w:rPr>
        <w:t xml:space="preserve">Each </w:t>
      </w:r>
      <w:r w:rsidR="00B7696D">
        <w:rPr>
          <w:rFonts w:ascii="Arial" w:hAnsi="Arial" w:cs="Arial"/>
          <w:sz w:val="21"/>
          <w:szCs w:val="21"/>
        </w:rPr>
        <w:t xml:space="preserve">Part B Indicator was discussed by the DEI/SES lead, with a review of 2018 Actual Data, 2019 Actual Data, and 2019 Target Data. Discussions were facilitated surrounding the collection of those data, if targets were met or not met, and </w:t>
      </w:r>
      <w:r w:rsidR="00BA6276">
        <w:rPr>
          <w:rFonts w:ascii="Arial" w:hAnsi="Arial" w:cs="Arial"/>
          <w:sz w:val="21"/>
          <w:szCs w:val="21"/>
        </w:rPr>
        <w:t>all questions about data, targets, and process were addressed in real time.</w:t>
      </w:r>
    </w:p>
    <w:p w14:paraId="27821086" w14:textId="161D958C" w:rsidR="001E4852" w:rsidRPr="001E4852" w:rsidRDefault="001E4852" w:rsidP="00071CFE">
      <w:pPr>
        <w:spacing w:after="120"/>
        <w:rPr>
          <w:rFonts w:ascii="Arial" w:hAnsi="Arial" w:cs="Arial"/>
          <w:sz w:val="21"/>
          <w:szCs w:val="21"/>
        </w:rPr>
      </w:pPr>
      <w:r w:rsidRPr="001E4852">
        <w:rPr>
          <w:rFonts w:ascii="Arial" w:hAnsi="Arial" w:cs="Arial"/>
          <w:sz w:val="21"/>
          <w:szCs w:val="21"/>
        </w:rPr>
        <w:t>Bri</w:t>
      </w:r>
      <w:r>
        <w:rPr>
          <w:rFonts w:ascii="Arial" w:hAnsi="Arial" w:cs="Arial"/>
          <w:sz w:val="21"/>
          <w:szCs w:val="21"/>
        </w:rPr>
        <w:t>an Morrison reviewed s</w:t>
      </w:r>
      <w:r w:rsidRPr="001E4852">
        <w:rPr>
          <w:rFonts w:ascii="Arial" w:hAnsi="Arial" w:cs="Arial"/>
          <w:sz w:val="21"/>
          <w:szCs w:val="21"/>
        </w:rPr>
        <w:t>tatewide preliminary data on the following Indicators:</w:t>
      </w:r>
    </w:p>
    <w:p w14:paraId="01C62109" w14:textId="1A9F3650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>3B-</w:t>
      </w:r>
      <w:r w:rsidRPr="001E4852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Assessment </w:t>
      </w:r>
      <w:r w:rsidRPr="001E4852">
        <w:rPr>
          <w:rFonts w:ascii="Arial" w:hAnsi="Arial" w:cs="Arial"/>
          <w:sz w:val="21"/>
          <w:szCs w:val="21"/>
        </w:rPr>
        <w:t>Participation Rate</w:t>
      </w:r>
      <w:r w:rsidRPr="00B7696D">
        <w:rPr>
          <w:rFonts w:ascii="Arial" w:hAnsi="Arial" w:cs="Arial"/>
          <w:sz w:val="21"/>
          <w:szCs w:val="21"/>
        </w:rPr>
        <w:t xml:space="preserve"> (Reading and Math – 3</w:t>
      </w:r>
      <w:r w:rsidRPr="00B7696D">
        <w:rPr>
          <w:rFonts w:ascii="Arial" w:hAnsi="Arial" w:cs="Arial"/>
          <w:sz w:val="21"/>
          <w:szCs w:val="21"/>
          <w:vertAlign w:val="superscript"/>
        </w:rPr>
        <w:t>rd</w:t>
      </w:r>
      <w:r w:rsidRPr="00B7696D">
        <w:rPr>
          <w:rFonts w:ascii="Arial" w:hAnsi="Arial" w:cs="Arial"/>
          <w:sz w:val="21"/>
          <w:szCs w:val="21"/>
        </w:rPr>
        <w:t>, 4</w:t>
      </w:r>
      <w:r w:rsidRPr="00B7696D">
        <w:rPr>
          <w:rFonts w:ascii="Arial" w:hAnsi="Arial" w:cs="Arial"/>
          <w:sz w:val="21"/>
          <w:szCs w:val="21"/>
          <w:vertAlign w:val="superscript"/>
        </w:rPr>
        <w:t>th</w:t>
      </w:r>
      <w:r w:rsidRPr="00B7696D">
        <w:rPr>
          <w:rFonts w:ascii="Arial" w:hAnsi="Arial" w:cs="Arial"/>
          <w:sz w:val="21"/>
          <w:szCs w:val="21"/>
        </w:rPr>
        <w:t>, 5</w:t>
      </w:r>
      <w:r w:rsidRPr="00B7696D">
        <w:rPr>
          <w:rFonts w:ascii="Arial" w:hAnsi="Arial" w:cs="Arial"/>
          <w:sz w:val="21"/>
          <w:szCs w:val="21"/>
          <w:vertAlign w:val="superscript"/>
        </w:rPr>
        <w:t>th</w:t>
      </w:r>
      <w:r w:rsidRPr="00B7696D">
        <w:rPr>
          <w:rFonts w:ascii="Arial" w:hAnsi="Arial" w:cs="Arial"/>
          <w:sz w:val="21"/>
          <w:szCs w:val="21"/>
        </w:rPr>
        <w:t>, 6</w:t>
      </w:r>
      <w:r w:rsidRPr="00B7696D">
        <w:rPr>
          <w:rFonts w:ascii="Arial" w:hAnsi="Arial" w:cs="Arial"/>
          <w:sz w:val="21"/>
          <w:szCs w:val="21"/>
          <w:vertAlign w:val="superscript"/>
        </w:rPr>
        <w:t>th</w:t>
      </w:r>
      <w:r w:rsidRPr="00B7696D">
        <w:rPr>
          <w:rFonts w:ascii="Arial" w:hAnsi="Arial" w:cs="Arial"/>
          <w:sz w:val="21"/>
          <w:szCs w:val="21"/>
        </w:rPr>
        <w:t>, 7</w:t>
      </w:r>
      <w:r w:rsidRPr="00B7696D">
        <w:rPr>
          <w:rFonts w:ascii="Arial" w:hAnsi="Arial" w:cs="Arial"/>
          <w:sz w:val="21"/>
          <w:szCs w:val="21"/>
          <w:vertAlign w:val="superscript"/>
        </w:rPr>
        <w:t>th</w:t>
      </w:r>
      <w:r w:rsidRPr="00B7696D">
        <w:rPr>
          <w:rFonts w:ascii="Arial" w:hAnsi="Arial" w:cs="Arial"/>
          <w:sz w:val="21"/>
          <w:szCs w:val="21"/>
        </w:rPr>
        <w:t>, 8</w:t>
      </w:r>
      <w:r w:rsidRPr="00B7696D">
        <w:rPr>
          <w:rFonts w:ascii="Arial" w:hAnsi="Arial" w:cs="Arial"/>
          <w:sz w:val="21"/>
          <w:szCs w:val="21"/>
          <w:vertAlign w:val="superscript"/>
        </w:rPr>
        <w:t>th</w:t>
      </w:r>
      <w:r w:rsidRPr="00B7696D">
        <w:rPr>
          <w:rFonts w:ascii="Arial" w:hAnsi="Arial" w:cs="Arial"/>
          <w:sz w:val="21"/>
          <w:szCs w:val="21"/>
        </w:rPr>
        <w:t>, HS)</w:t>
      </w:r>
    </w:p>
    <w:p w14:paraId="39146D75" w14:textId="3B2E7EE0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4a-Districts that are discrepant/Suspension/Expulsion &gt;10 days</w:t>
      </w:r>
    </w:p>
    <w:p w14:paraId="2CA019C5" w14:textId="6CAADDE7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4b-Districts that are discrepant/Suspension/Expulsion by Disability with Noncompliant P&amp;P</w:t>
      </w:r>
    </w:p>
    <w:p w14:paraId="150953BD" w14:textId="77777777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5a-Reg. Ed 80% or more</w:t>
      </w:r>
    </w:p>
    <w:p w14:paraId="21DE43D7" w14:textId="77777777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5b-Reg. Ed &lt; 40%</w:t>
      </w:r>
    </w:p>
    <w:p w14:paraId="66DD6233" w14:textId="77777777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 xml:space="preserve">5c-In Separate Schools </w:t>
      </w:r>
    </w:p>
    <w:p w14:paraId="560D2939" w14:textId="086059FA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9-Disproportionate Representation in Special Education by Race</w:t>
      </w:r>
    </w:p>
    <w:p w14:paraId="51F362B9" w14:textId="1FDEDE51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10-Disproportionate Representation in Specific Disability Categories</w:t>
      </w:r>
    </w:p>
    <w:p w14:paraId="4B9ACF5C" w14:textId="03F0E88D" w:rsidR="00B7696D" w:rsidRDefault="00B7696D" w:rsidP="001E4852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Janette Guerra reviewed statewide preliminary data on the following Indicators:</w:t>
      </w:r>
    </w:p>
    <w:p w14:paraId="2E0DDB7E" w14:textId="0A784054" w:rsidR="00B7696D" w:rsidRPr="00B7696D" w:rsidRDefault="00B7696D" w:rsidP="00B7696D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6a-Regular Early Childhood </w:t>
      </w:r>
      <w:r w:rsidRPr="00B7696D">
        <w:rPr>
          <w:rFonts w:ascii="Arial" w:hAnsi="Arial" w:cs="Arial"/>
          <w:sz w:val="21"/>
          <w:szCs w:val="21"/>
        </w:rPr>
        <w:t>Program</w:t>
      </w:r>
    </w:p>
    <w:p w14:paraId="64AA31A9" w14:textId="77777777" w:rsidR="00B7696D" w:rsidRPr="00B7696D" w:rsidRDefault="00B7696D" w:rsidP="00B7696D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6b-SeparateClass, School, Facility</w:t>
      </w:r>
    </w:p>
    <w:p w14:paraId="704005C5" w14:textId="77777777" w:rsidR="00B7696D" w:rsidRPr="00B7696D" w:rsidRDefault="00B7696D" w:rsidP="00B7696D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7a-Social Emotional (SS#1)</w:t>
      </w:r>
    </w:p>
    <w:p w14:paraId="632A4D8D" w14:textId="77777777" w:rsidR="00B7696D" w:rsidRPr="00B7696D" w:rsidRDefault="00B7696D" w:rsidP="00B7696D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7a-Social Emotional (SS#2)</w:t>
      </w:r>
    </w:p>
    <w:p w14:paraId="68EE0525" w14:textId="77777777" w:rsidR="00B7696D" w:rsidRPr="00B7696D" w:rsidRDefault="00B7696D" w:rsidP="00B7696D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7b-Knowledge &amp; Skills (SS#1)</w:t>
      </w:r>
    </w:p>
    <w:p w14:paraId="0E483E00" w14:textId="77777777" w:rsidR="00B7696D" w:rsidRPr="00B7696D" w:rsidRDefault="00B7696D" w:rsidP="00B7696D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lastRenderedPageBreak/>
        <w:t>7b-Knowledge &amp; Skills (SS#2)</w:t>
      </w:r>
    </w:p>
    <w:p w14:paraId="047F4C83" w14:textId="77777777" w:rsidR="00B7696D" w:rsidRPr="00B7696D" w:rsidRDefault="00B7696D" w:rsidP="00B7696D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7c- Behavior to Meet Needs (SS#1)</w:t>
      </w:r>
    </w:p>
    <w:p w14:paraId="22A6EE25" w14:textId="77777777" w:rsidR="00B7696D" w:rsidRPr="00B7696D" w:rsidRDefault="00B7696D" w:rsidP="00B7696D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7c- Behavior to Meet Needs (SS#2)</w:t>
      </w:r>
    </w:p>
    <w:p w14:paraId="4C160BB0" w14:textId="790ACFE3" w:rsidR="00B7696D" w:rsidRDefault="00B7696D" w:rsidP="00B7696D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12-Early Childhood Transition</w:t>
      </w:r>
    </w:p>
    <w:p w14:paraId="0F4675BB" w14:textId="38486015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11-Child Find Eligibility Determination</w:t>
      </w:r>
    </w:p>
    <w:p w14:paraId="5016B694" w14:textId="3FE05425" w:rsidR="001E4852" w:rsidRPr="00B7696D" w:rsidRDefault="001E4852" w:rsidP="00071CFE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 xml:space="preserve">Dori Wilson and Ken </w:t>
      </w:r>
      <w:proofErr w:type="spellStart"/>
      <w:r w:rsidRPr="00B7696D">
        <w:rPr>
          <w:rFonts w:ascii="Arial" w:hAnsi="Arial" w:cs="Arial"/>
          <w:sz w:val="21"/>
          <w:szCs w:val="21"/>
        </w:rPr>
        <w:t>Huddock</w:t>
      </w:r>
      <w:proofErr w:type="spellEnd"/>
      <w:r w:rsidRPr="00B7696D">
        <w:rPr>
          <w:rFonts w:ascii="Arial" w:hAnsi="Arial" w:cs="Arial"/>
          <w:sz w:val="21"/>
          <w:szCs w:val="21"/>
        </w:rPr>
        <w:t xml:space="preserve"> reviewed statewide preliminary data on the following Indicators:</w:t>
      </w:r>
    </w:p>
    <w:p w14:paraId="3E55CDBE" w14:textId="77777777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15-Hearing Requests Resolved</w:t>
      </w:r>
    </w:p>
    <w:p w14:paraId="42C65EB0" w14:textId="4D407F05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16-Mediation Agreements</w:t>
      </w:r>
    </w:p>
    <w:p w14:paraId="4F2B5895" w14:textId="77777777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8a-Preschool Parent Involvement</w:t>
      </w:r>
    </w:p>
    <w:p w14:paraId="05D7E76B" w14:textId="4CF23361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8b-School Age Parent Involvement</w:t>
      </w:r>
    </w:p>
    <w:p w14:paraId="0C22F159" w14:textId="6EB0DB3D" w:rsidR="00533651" w:rsidRPr="00B7696D" w:rsidRDefault="001E4852" w:rsidP="00071CFE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Christy Stuart reviewed statewide preliminary data on the following Indicators:</w:t>
      </w:r>
    </w:p>
    <w:p w14:paraId="67A61217" w14:textId="0174D1B6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1-Graduation</w:t>
      </w:r>
    </w:p>
    <w:p w14:paraId="6910DCF0" w14:textId="28DE6E5E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2-Dropout</w:t>
      </w:r>
    </w:p>
    <w:p w14:paraId="46F8C232" w14:textId="5366EB8C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13-Secondary Transition</w:t>
      </w:r>
    </w:p>
    <w:p w14:paraId="503EDE4A" w14:textId="3F6363E2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14a-Post-School Higher Education</w:t>
      </w:r>
    </w:p>
    <w:p w14:paraId="16E2ACD4" w14:textId="760596EF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14b-Post-School Higher Ed or Employed</w:t>
      </w:r>
    </w:p>
    <w:p w14:paraId="11D79E89" w14:textId="5FF1D650" w:rsidR="001E4852" w:rsidRPr="00B7696D" w:rsidRDefault="001E4852" w:rsidP="001E4852">
      <w:pPr>
        <w:spacing w:after="120"/>
        <w:rPr>
          <w:rFonts w:ascii="Arial" w:hAnsi="Arial" w:cs="Arial"/>
          <w:sz w:val="21"/>
          <w:szCs w:val="21"/>
        </w:rPr>
      </w:pPr>
      <w:r w:rsidRPr="00B7696D">
        <w:rPr>
          <w:rFonts w:ascii="Arial" w:hAnsi="Arial" w:cs="Arial"/>
          <w:sz w:val="21"/>
          <w:szCs w:val="21"/>
        </w:rPr>
        <w:t>14c-Post-School Higher Ed, Training Program, or Employed</w:t>
      </w:r>
    </w:p>
    <w:p w14:paraId="128BD049" w14:textId="41FFED60" w:rsidR="00225FE1" w:rsidRPr="00D94FC6" w:rsidRDefault="00451052" w:rsidP="00071CFE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Subc</w:t>
      </w:r>
      <w:r w:rsidR="00D94FC6">
        <w:rPr>
          <w:rFonts w:ascii="Arial" w:hAnsi="Arial" w:cs="Arial"/>
          <w:b/>
          <w:sz w:val="21"/>
          <w:szCs w:val="21"/>
        </w:rPr>
        <w:t xml:space="preserve">ommittee Breakout </w:t>
      </w:r>
      <w:r w:rsidR="00533651">
        <w:rPr>
          <w:rFonts w:ascii="Arial" w:hAnsi="Arial" w:cs="Arial"/>
          <w:b/>
          <w:sz w:val="21"/>
          <w:szCs w:val="21"/>
        </w:rPr>
        <w:t>Updates</w:t>
      </w:r>
      <w:r w:rsidR="00D94FC6">
        <w:rPr>
          <w:rFonts w:ascii="Arial" w:hAnsi="Arial" w:cs="Arial"/>
          <w:b/>
          <w:sz w:val="21"/>
          <w:szCs w:val="21"/>
        </w:rPr>
        <w:t xml:space="preserve">: </w:t>
      </w:r>
      <w:r w:rsidR="00D94FC6">
        <w:rPr>
          <w:rFonts w:ascii="Arial" w:hAnsi="Arial" w:cs="Arial"/>
          <w:sz w:val="21"/>
          <w:szCs w:val="21"/>
        </w:rPr>
        <w:t>Each S</w:t>
      </w:r>
      <w:r>
        <w:rPr>
          <w:rFonts w:ascii="Arial" w:hAnsi="Arial" w:cs="Arial"/>
          <w:sz w:val="21"/>
          <w:szCs w:val="21"/>
        </w:rPr>
        <w:t>ESAC sub</w:t>
      </w:r>
      <w:r w:rsidR="00D94FC6">
        <w:rPr>
          <w:rFonts w:ascii="Arial" w:hAnsi="Arial" w:cs="Arial"/>
          <w:sz w:val="21"/>
          <w:szCs w:val="21"/>
        </w:rPr>
        <w:t xml:space="preserve">committee </w:t>
      </w:r>
      <w:r w:rsidR="00533651">
        <w:rPr>
          <w:rFonts w:ascii="Arial" w:hAnsi="Arial" w:cs="Arial"/>
          <w:sz w:val="21"/>
          <w:szCs w:val="21"/>
        </w:rPr>
        <w:t>leader provided updates to the SESAC and offered opportunities for input and participation in recommendations that will move forward to the Assistant State Superintendent.</w:t>
      </w:r>
    </w:p>
    <w:p w14:paraId="6585E3F1" w14:textId="6796CB56" w:rsidR="00261124" w:rsidRPr="00071CFE" w:rsidRDefault="00261124" w:rsidP="00533651">
      <w:pPr>
        <w:spacing w:after="120"/>
        <w:ind w:left="720"/>
        <w:rPr>
          <w:rFonts w:ascii="Arial" w:hAnsi="Arial" w:cs="Arial"/>
          <w:sz w:val="21"/>
          <w:szCs w:val="21"/>
        </w:rPr>
      </w:pPr>
      <w:r w:rsidRPr="00071CFE">
        <w:rPr>
          <w:rFonts w:ascii="Arial" w:hAnsi="Arial" w:cs="Arial"/>
          <w:b/>
          <w:sz w:val="21"/>
          <w:szCs w:val="21"/>
        </w:rPr>
        <w:t xml:space="preserve">SESAC </w:t>
      </w:r>
      <w:r w:rsidR="00D94FC6">
        <w:rPr>
          <w:rFonts w:ascii="Arial" w:hAnsi="Arial" w:cs="Arial"/>
          <w:b/>
          <w:sz w:val="21"/>
          <w:szCs w:val="21"/>
        </w:rPr>
        <w:t xml:space="preserve">SECAC Guidance/Legislation </w:t>
      </w:r>
      <w:r w:rsidR="00EA183C">
        <w:rPr>
          <w:rFonts w:ascii="Arial" w:hAnsi="Arial" w:cs="Arial"/>
          <w:b/>
          <w:sz w:val="21"/>
          <w:szCs w:val="21"/>
        </w:rPr>
        <w:t>Subcommittee</w:t>
      </w:r>
      <w:r w:rsidR="00071CFE" w:rsidRPr="00071CFE">
        <w:rPr>
          <w:rFonts w:ascii="Arial" w:hAnsi="Arial" w:cs="Arial"/>
          <w:b/>
          <w:sz w:val="21"/>
          <w:szCs w:val="21"/>
        </w:rPr>
        <w:t>:</w:t>
      </w:r>
      <w:r w:rsidRPr="00071CFE">
        <w:rPr>
          <w:rFonts w:ascii="Arial" w:hAnsi="Arial" w:cs="Arial"/>
          <w:sz w:val="21"/>
          <w:szCs w:val="21"/>
        </w:rPr>
        <w:t xml:space="preserve"> Pamela Talley</w:t>
      </w:r>
      <w:r w:rsidR="00071CFE">
        <w:rPr>
          <w:rFonts w:ascii="Arial" w:hAnsi="Arial" w:cs="Arial"/>
          <w:sz w:val="21"/>
          <w:szCs w:val="21"/>
        </w:rPr>
        <w:t xml:space="preserve"> </w:t>
      </w:r>
      <w:r w:rsidR="00D94FC6">
        <w:rPr>
          <w:rFonts w:ascii="Arial" w:hAnsi="Arial" w:cs="Arial"/>
          <w:sz w:val="21"/>
          <w:szCs w:val="21"/>
        </w:rPr>
        <w:t xml:space="preserve">and Leanne Carmona, Co-Chairs </w:t>
      </w:r>
      <w:r w:rsidR="00533651">
        <w:rPr>
          <w:rFonts w:ascii="Arial" w:hAnsi="Arial" w:cs="Arial"/>
          <w:sz w:val="21"/>
          <w:szCs w:val="21"/>
        </w:rPr>
        <w:t>discussed added features recommended for the</w:t>
      </w:r>
      <w:r w:rsidR="00451052">
        <w:rPr>
          <w:rFonts w:ascii="Arial" w:hAnsi="Arial" w:cs="Arial"/>
          <w:sz w:val="21"/>
          <w:szCs w:val="21"/>
        </w:rPr>
        <w:t xml:space="preserve"> MSDE SECAC guidance. </w:t>
      </w:r>
      <w:r w:rsidR="00533651">
        <w:rPr>
          <w:rFonts w:ascii="Arial" w:hAnsi="Arial" w:cs="Arial"/>
          <w:sz w:val="21"/>
          <w:szCs w:val="21"/>
        </w:rPr>
        <w:t>Pam Talley also discussed draft language for SESAC’s letter of budgetary support to be submitted at the MSDE Budget Hearings in Annapolis.</w:t>
      </w:r>
    </w:p>
    <w:p w14:paraId="79CF9224" w14:textId="14F82784" w:rsidR="00BB2C53" w:rsidRPr="00071CFE" w:rsidRDefault="00451052" w:rsidP="00533651">
      <w:pPr>
        <w:spacing w:after="12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Maryland On-Line IEP Update Subcommittee</w:t>
      </w:r>
      <w:r w:rsidR="00071CFE" w:rsidRPr="00071CFE">
        <w:rPr>
          <w:rFonts w:ascii="Arial" w:hAnsi="Arial" w:cs="Arial"/>
          <w:b/>
          <w:sz w:val="21"/>
          <w:szCs w:val="21"/>
        </w:rPr>
        <w:t>:</w:t>
      </w:r>
      <w:r w:rsidR="00071CFE">
        <w:rPr>
          <w:rFonts w:ascii="Arial" w:hAnsi="Arial" w:cs="Arial"/>
          <w:sz w:val="21"/>
          <w:szCs w:val="21"/>
        </w:rPr>
        <w:t xml:space="preserve"> </w:t>
      </w:r>
      <w:r w:rsidR="00D94FC6">
        <w:rPr>
          <w:rFonts w:ascii="Arial" w:hAnsi="Arial" w:cs="Arial"/>
          <w:sz w:val="21"/>
          <w:szCs w:val="21"/>
        </w:rPr>
        <w:t xml:space="preserve">Marge </w:t>
      </w:r>
      <w:proofErr w:type="spellStart"/>
      <w:r w:rsidR="00D94FC6">
        <w:rPr>
          <w:rFonts w:ascii="Arial" w:hAnsi="Arial" w:cs="Arial"/>
          <w:sz w:val="21"/>
          <w:szCs w:val="21"/>
        </w:rPr>
        <w:t>Guldan</w:t>
      </w:r>
      <w:proofErr w:type="spellEnd"/>
      <w:r w:rsidR="00D94FC6">
        <w:rPr>
          <w:rFonts w:ascii="Arial" w:hAnsi="Arial" w:cs="Arial"/>
          <w:sz w:val="21"/>
          <w:szCs w:val="21"/>
        </w:rPr>
        <w:t xml:space="preserve">, Vice Co-Chair </w:t>
      </w:r>
      <w:r w:rsidR="00533651">
        <w:rPr>
          <w:rFonts w:ascii="Arial" w:hAnsi="Arial" w:cs="Arial"/>
          <w:sz w:val="21"/>
          <w:szCs w:val="21"/>
        </w:rPr>
        <w:t xml:space="preserve">shared themes for recommendations to </w:t>
      </w:r>
      <w:r>
        <w:rPr>
          <w:rFonts w:ascii="Arial" w:hAnsi="Arial" w:cs="Arial"/>
          <w:sz w:val="21"/>
          <w:szCs w:val="21"/>
        </w:rPr>
        <w:t>the Maryland On-Line IEP syst</w:t>
      </w:r>
      <w:r w:rsidR="00F40831">
        <w:rPr>
          <w:rFonts w:ascii="Arial" w:hAnsi="Arial" w:cs="Arial"/>
          <w:sz w:val="21"/>
          <w:szCs w:val="21"/>
        </w:rPr>
        <w:t xml:space="preserve">em </w:t>
      </w:r>
      <w:r>
        <w:rPr>
          <w:rFonts w:ascii="Arial" w:hAnsi="Arial" w:cs="Arial"/>
          <w:sz w:val="21"/>
          <w:szCs w:val="21"/>
        </w:rPr>
        <w:t>parent-f</w:t>
      </w:r>
      <w:r w:rsidR="00F40831">
        <w:rPr>
          <w:rFonts w:ascii="Arial" w:hAnsi="Arial" w:cs="Arial"/>
          <w:sz w:val="21"/>
          <w:szCs w:val="21"/>
        </w:rPr>
        <w:t xml:space="preserve">riendly process and print-out. </w:t>
      </w:r>
    </w:p>
    <w:p w14:paraId="0A564318" w14:textId="690F7EC9" w:rsidR="00BB2C53" w:rsidRPr="00071CFE" w:rsidRDefault="00BB2C53" w:rsidP="00533651">
      <w:pPr>
        <w:spacing w:after="120"/>
        <w:ind w:left="720"/>
        <w:rPr>
          <w:rFonts w:ascii="Arial" w:hAnsi="Arial" w:cs="Arial"/>
          <w:sz w:val="21"/>
          <w:szCs w:val="21"/>
        </w:rPr>
      </w:pPr>
      <w:r w:rsidRPr="00071CFE">
        <w:rPr>
          <w:rFonts w:ascii="Arial" w:hAnsi="Arial" w:cs="Arial"/>
          <w:b/>
          <w:sz w:val="21"/>
          <w:szCs w:val="21"/>
        </w:rPr>
        <w:t>Secondary Transition</w:t>
      </w:r>
      <w:r w:rsidR="00451052">
        <w:rPr>
          <w:rFonts w:ascii="Arial" w:hAnsi="Arial" w:cs="Arial"/>
          <w:b/>
          <w:sz w:val="21"/>
          <w:szCs w:val="21"/>
        </w:rPr>
        <w:t xml:space="preserve"> Subcommittee</w:t>
      </w:r>
      <w:r w:rsidR="00071CFE" w:rsidRPr="00071CFE">
        <w:rPr>
          <w:rFonts w:ascii="Arial" w:hAnsi="Arial" w:cs="Arial"/>
          <w:b/>
          <w:sz w:val="21"/>
          <w:szCs w:val="21"/>
        </w:rPr>
        <w:t>:</w:t>
      </w:r>
      <w:r w:rsidR="00071CFE">
        <w:rPr>
          <w:rFonts w:ascii="Arial" w:hAnsi="Arial" w:cs="Arial"/>
          <w:sz w:val="21"/>
          <w:szCs w:val="21"/>
        </w:rPr>
        <w:t xml:space="preserve"> </w:t>
      </w:r>
      <w:r w:rsidR="00D94FC6">
        <w:rPr>
          <w:rFonts w:ascii="Arial" w:hAnsi="Arial" w:cs="Arial"/>
          <w:sz w:val="21"/>
          <w:szCs w:val="21"/>
        </w:rPr>
        <w:t xml:space="preserve">Wendy </w:t>
      </w:r>
      <w:proofErr w:type="spellStart"/>
      <w:r w:rsidR="00D94FC6">
        <w:rPr>
          <w:rFonts w:ascii="Arial" w:hAnsi="Arial" w:cs="Arial"/>
          <w:sz w:val="21"/>
          <w:szCs w:val="21"/>
        </w:rPr>
        <w:t>Balda</w:t>
      </w:r>
      <w:proofErr w:type="spellEnd"/>
      <w:r w:rsidR="00D94FC6">
        <w:rPr>
          <w:rFonts w:ascii="Arial" w:hAnsi="Arial" w:cs="Arial"/>
          <w:sz w:val="21"/>
          <w:szCs w:val="21"/>
        </w:rPr>
        <w:t xml:space="preserve">, Vice Co-Chair </w:t>
      </w:r>
      <w:r w:rsidR="00533651">
        <w:rPr>
          <w:rFonts w:ascii="Arial" w:hAnsi="Arial" w:cs="Arial"/>
          <w:sz w:val="21"/>
          <w:szCs w:val="21"/>
        </w:rPr>
        <w:t xml:space="preserve">shared information on the process and </w:t>
      </w:r>
      <w:r w:rsidR="00451052">
        <w:rPr>
          <w:rFonts w:ascii="Arial" w:hAnsi="Arial" w:cs="Arial"/>
          <w:sz w:val="21"/>
          <w:szCs w:val="21"/>
        </w:rPr>
        <w:t>discussion</w:t>
      </w:r>
      <w:r w:rsidR="00533651">
        <w:rPr>
          <w:rFonts w:ascii="Arial" w:hAnsi="Arial" w:cs="Arial"/>
          <w:sz w:val="21"/>
          <w:szCs w:val="21"/>
        </w:rPr>
        <w:t>s</w:t>
      </w:r>
      <w:r w:rsidR="00451052">
        <w:rPr>
          <w:rFonts w:ascii="Arial" w:hAnsi="Arial" w:cs="Arial"/>
          <w:sz w:val="21"/>
          <w:szCs w:val="21"/>
        </w:rPr>
        <w:t xml:space="preserve"> </w:t>
      </w:r>
      <w:r w:rsidR="00533651">
        <w:rPr>
          <w:rFonts w:ascii="Arial" w:hAnsi="Arial" w:cs="Arial"/>
          <w:sz w:val="21"/>
          <w:szCs w:val="21"/>
        </w:rPr>
        <w:t>that will be leading to</w:t>
      </w:r>
      <w:r w:rsidR="00451052">
        <w:rPr>
          <w:rFonts w:ascii="Arial" w:hAnsi="Arial" w:cs="Arial"/>
          <w:sz w:val="21"/>
          <w:szCs w:val="21"/>
        </w:rPr>
        <w:t xml:space="preserve"> </w:t>
      </w:r>
      <w:r w:rsidR="00FC3B98">
        <w:rPr>
          <w:rFonts w:ascii="Arial" w:hAnsi="Arial" w:cs="Arial"/>
          <w:sz w:val="21"/>
          <w:szCs w:val="21"/>
        </w:rPr>
        <w:t>recommendations on Maryland’s</w:t>
      </w:r>
      <w:r w:rsidR="00451052">
        <w:rPr>
          <w:rFonts w:ascii="Arial" w:hAnsi="Arial" w:cs="Arial"/>
          <w:sz w:val="21"/>
          <w:szCs w:val="21"/>
        </w:rPr>
        <w:t xml:space="preserve"> secondary transition process, rules, and guidance</w:t>
      </w:r>
      <w:r w:rsidR="00533651">
        <w:rPr>
          <w:rFonts w:ascii="Arial" w:hAnsi="Arial" w:cs="Arial"/>
          <w:sz w:val="21"/>
          <w:szCs w:val="21"/>
        </w:rPr>
        <w:t>.</w:t>
      </w:r>
    </w:p>
    <w:p w14:paraId="3365C0E7" w14:textId="0DBDA8C3" w:rsidR="00071CFE" w:rsidRPr="00071CFE" w:rsidRDefault="00071CFE" w:rsidP="00071CFE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</w:t>
      </w:r>
      <w:r w:rsidRPr="00071CFE">
        <w:rPr>
          <w:rFonts w:ascii="Arial" w:hAnsi="Arial" w:cs="Arial"/>
          <w:b/>
          <w:sz w:val="21"/>
          <w:szCs w:val="21"/>
        </w:rPr>
        <w:t>eeting Adjourned:</w:t>
      </w:r>
      <w:r>
        <w:rPr>
          <w:rFonts w:ascii="Arial" w:hAnsi="Arial" w:cs="Arial"/>
          <w:sz w:val="21"/>
          <w:szCs w:val="21"/>
        </w:rPr>
        <w:t xml:space="preserve"> Next Meeting – </w:t>
      </w:r>
      <w:r w:rsidR="00533651">
        <w:rPr>
          <w:rFonts w:ascii="Arial" w:hAnsi="Arial" w:cs="Arial"/>
          <w:sz w:val="21"/>
          <w:szCs w:val="21"/>
        </w:rPr>
        <w:t>Joint SESAC/SECAC Meeting – March 10, 2021</w:t>
      </w:r>
    </w:p>
    <w:p w14:paraId="3E7F6D4E" w14:textId="77777777" w:rsidR="00A071EF" w:rsidRPr="00261124" w:rsidRDefault="00A071EF" w:rsidP="00DC5C2F">
      <w:pPr>
        <w:rPr>
          <w:rFonts w:ascii="Arial" w:hAnsi="Arial" w:cs="Arial"/>
          <w:sz w:val="10"/>
          <w:szCs w:val="10"/>
        </w:rPr>
      </w:pPr>
    </w:p>
    <w:p w14:paraId="68F54C93" w14:textId="6E618A2E" w:rsidR="0087425A" w:rsidRPr="00EE3B8A" w:rsidRDefault="0087425A" w:rsidP="0087425A">
      <w:pPr>
        <w:rPr>
          <w:rFonts w:ascii="Arial" w:hAnsi="Arial" w:cs="Arial"/>
          <w:sz w:val="21"/>
          <w:szCs w:val="21"/>
        </w:rPr>
      </w:pPr>
    </w:p>
    <w:sectPr w:rsidR="0087425A" w:rsidRPr="00EE3B8A" w:rsidSect="006A6B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5F8E" w14:textId="77777777" w:rsidR="00720EBB" w:rsidRDefault="00720EBB">
      <w:r>
        <w:separator/>
      </w:r>
    </w:p>
  </w:endnote>
  <w:endnote w:type="continuationSeparator" w:id="0">
    <w:p w14:paraId="0B1DEF4E" w14:textId="77777777" w:rsidR="00720EBB" w:rsidRDefault="0072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962D" w14:textId="7122B629" w:rsidR="00054EB2" w:rsidRPr="001A7CBC" w:rsidRDefault="00054EB2" w:rsidP="000B0EED">
    <w:pPr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06FF" w14:textId="77777777" w:rsidR="00720EBB" w:rsidRDefault="00720EBB">
      <w:r>
        <w:separator/>
      </w:r>
    </w:p>
  </w:footnote>
  <w:footnote w:type="continuationSeparator" w:id="0">
    <w:p w14:paraId="68A78E67" w14:textId="77777777" w:rsidR="00720EBB" w:rsidRDefault="0072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75" w:type="dxa"/>
      <w:tblLook w:val="04A0" w:firstRow="1" w:lastRow="0" w:firstColumn="1" w:lastColumn="0" w:noHBand="0" w:noVBand="1"/>
      <w:tblCaption w:val="State of Maryland"/>
      <w:tblDescription w:val="MSDE logo"/>
    </w:tblPr>
    <w:tblGrid>
      <w:gridCol w:w="5215"/>
      <w:gridCol w:w="3960"/>
    </w:tblGrid>
    <w:tr w:rsidR="00054EB2" w:rsidRPr="00A071EF" w14:paraId="58F09D2E" w14:textId="77777777" w:rsidTr="00EB7A68">
      <w:trPr>
        <w:trHeight w:val="1533"/>
      </w:trPr>
      <w:tc>
        <w:tcPr>
          <w:tcW w:w="5215" w:type="dxa"/>
        </w:tcPr>
        <w:p w14:paraId="476E58AF" w14:textId="4B0C4F23" w:rsidR="003924B3" w:rsidRPr="000B0EED" w:rsidRDefault="003924B3" w:rsidP="000B0EED">
          <w:pPr>
            <w:rPr>
              <w:rFonts w:ascii="Arial" w:hAnsi="Arial" w:cs="Arial"/>
            </w:rPr>
          </w:pPr>
          <w:r w:rsidRPr="00A071EF">
            <w:rPr>
              <w:rFonts w:ascii="Arial" w:eastAsia="Times" w:hAnsi="Arial" w:cs="Arial"/>
              <w:noProof/>
            </w:rPr>
            <w:drawing>
              <wp:inline distT="0" distB="0" distL="0" distR="0" wp14:anchorId="5FBFA575" wp14:editId="09474AC4">
                <wp:extent cx="1361832" cy="636203"/>
                <wp:effectExtent l="0" t="0" r="0" b="0"/>
                <wp:docPr id="5" name="Picture 5" title="MS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SDE_Logo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359" cy="64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B0EED">
            <w:rPr>
              <w:rFonts w:ascii="Arial" w:hAnsi="Arial" w:cs="Arial"/>
            </w:rPr>
            <w:t xml:space="preserve"> </w:t>
          </w:r>
        </w:p>
        <w:p w14:paraId="6F4D12C1" w14:textId="77777777" w:rsidR="00054EB2" w:rsidRPr="00A071EF" w:rsidRDefault="00054EB2" w:rsidP="000B0EED">
          <w:pPr>
            <w:pStyle w:val="Header"/>
            <w:tabs>
              <w:tab w:val="center" w:pos="5382"/>
            </w:tabs>
            <w:spacing w:before="140"/>
            <w:rPr>
              <w:rFonts w:ascii="Arial" w:hAnsi="Arial" w:cs="Arial"/>
              <w:b/>
              <w:bCs/>
              <w:color w:val="800000"/>
              <w:sz w:val="52"/>
              <w:szCs w:val="52"/>
            </w:rPr>
          </w:pPr>
          <w:r w:rsidRPr="00A071EF">
            <w:rPr>
              <w:rFonts w:ascii="Arial" w:hAnsi="Arial" w:cs="Arial"/>
              <w:b/>
              <w:bCs/>
              <w:color w:val="800000"/>
              <w:sz w:val="52"/>
              <w:szCs w:val="52"/>
            </w:rPr>
            <w:t>Maryland SESAC</w:t>
          </w:r>
        </w:p>
        <w:p w14:paraId="7AD56681" w14:textId="1DF27DE9" w:rsidR="00054EB2" w:rsidRPr="000B0EED" w:rsidRDefault="000B0EED" w:rsidP="00352270">
          <w:pPr>
            <w:pStyle w:val="Header"/>
            <w:rPr>
              <w:rFonts w:ascii="Arial" w:hAnsi="Arial" w:cs="Arial"/>
              <w:b/>
              <w:sz w:val="17"/>
              <w:szCs w:val="17"/>
              <w:lang w:val="en-US"/>
            </w:rPr>
          </w:pPr>
          <w:r w:rsidRPr="000B0EED">
            <w:rPr>
              <w:rFonts w:ascii="Arial" w:hAnsi="Arial" w:cs="Arial"/>
              <w:b/>
              <w:sz w:val="17"/>
              <w:szCs w:val="17"/>
              <w:lang w:val="en-US"/>
            </w:rPr>
            <w:t>SPECIAL EDUCATION STATE ADVISORY COMMITTEE</w:t>
          </w:r>
        </w:p>
      </w:tc>
      <w:tc>
        <w:tcPr>
          <w:tcW w:w="3960" w:type="dxa"/>
        </w:tcPr>
        <w:p w14:paraId="3446E24B" w14:textId="77777777" w:rsidR="000B0EED" w:rsidRDefault="000B0EED" w:rsidP="00124B52">
          <w:pPr>
            <w:pStyle w:val="Header"/>
            <w:tabs>
              <w:tab w:val="center" w:pos="4932"/>
            </w:tabs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Maryland State Department of Education</w:t>
          </w:r>
        </w:p>
        <w:p w14:paraId="572DF89E" w14:textId="2A5259AC" w:rsidR="00054EB2" w:rsidRPr="00A071EF" w:rsidRDefault="00054EB2" w:rsidP="00124B52">
          <w:pPr>
            <w:pStyle w:val="Header"/>
            <w:tabs>
              <w:tab w:val="center" w:pos="4932"/>
            </w:tabs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 xml:space="preserve">Division of Early Intervention </w:t>
          </w:r>
          <w:r w:rsidR="00C26A20" w:rsidRPr="00A071EF">
            <w:rPr>
              <w:rFonts w:ascii="Arial" w:hAnsi="Arial" w:cs="Arial"/>
              <w:sz w:val="18"/>
              <w:szCs w:val="18"/>
              <w:lang w:val="en-US"/>
            </w:rPr>
            <w:t xml:space="preserve">and Special Education </w:t>
          </w:r>
          <w:r w:rsidRPr="00A071EF">
            <w:rPr>
              <w:rFonts w:ascii="Arial" w:hAnsi="Arial" w:cs="Arial"/>
              <w:sz w:val="18"/>
              <w:szCs w:val="18"/>
            </w:rPr>
            <w:t>Services</w:t>
          </w:r>
        </w:p>
        <w:p w14:paraId="263A62EB" w14:textId="77777777" w:rsidR="000B0EED" w:rsidRDefault="00054EB2" w:rsidP="00124B52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>200 W</w:t>
          </w:r>
          <w:r w:rsidR="00124B52" w:rsidRPr="00A071EF">
            <w:rPr>
              <w:rFonts w:ascii="Arial" w:hAnsi="Arial" w:cs="Arial"/>
              <w:sz w:val="18"/>
              <w:szCs w:val="18"/>
              <w:lang w:val="en-US"/>
            </w:rPr>
            <w:t xml:space="preserve">est </w:t>
          </w:r>
          <w:r w:rsidRPr="00A071EF">
            <w:rPr>
              <w:rFonts w:ascii="Arial" w:hAnsi="Arial" w:cs="Arial"/>
              <w:sz w:val="18"/>
              <w:szCs w:val="18"/>
            </w:rPr>
            <w:t>Baltimore Street</w:t>
          </w:r>
        </w:p>
        <w:p w14:paraId="19A79846" w14:textId="53F98399" w:rsidR="00054EB2" w:rsidRPr="00A071EF" w:rsidRDefault="00054EB2" w:rsidP="00124B52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 xml:space="preserve">Baltimore, </w:t>
          </w:r>
          <w:r w:rsidR="00A071EF">
            <w:rPr>
              <w:rFonts w:ascii="Arial" w:hAnsi="Arial" w:cs="Arial"/>
              <w:sz w:val="18"/>
              <w:szCs w:val="18"/>
              <w:lang w:val="en-US"/>
            </w:rPr>
            <w:t>Maryland</w:t>
          </w:r>
          <w:r w:rsidRPr="00A071EF">
            <w:rPr>
              <w:rFonts w:ascii="Arial" w:hAnsi="Arial" w:cs="Arial"/>
              <w:sz w:val="18"/>
              <w:szCs w:val="18"/>
            </w:rPr>
            <w:t xml:space="preserve"> 21201</w:t>
          </w:r>
        </w:p>
        <w:p w14:paraId="23625E8C" w14:textId="39B9B812" w:rsidR="00124B52" w:rsidRPr="00A071EF" w:rsidRDefault="00167270" w:rsidP="00EB7A68">
          <w:pPr>
            <w:pStyle w:val="Header"/>
            <w:spacing w:after="80"/>
            <w:rPr>
              <w:rFonts w:ascii="Arial" w:hAnsi="Arial" w:cs="Arial"/>
              <w:sz w:val="18"/>
              <w:szCs w:val="18"/>
              <w:lang w:val="en-US"/>
            </w:rPr>
          </w:pPr>
          <w:r w:rsidRPr="00A071EF">
            <w:rPr>
              <w:rFonts w:ascii="Arial" w:hAnsi="Arial" w:cs="Arial"/>
              <w:sz w:val="18"/>
              <w:szCs w:val="18"/>
            </w:rPr>
            <w:t>(410) 767-</w:t>
          </w:r>
          <w:r w:rsidRPr="00A071EF">
            <w:rPr>
              <w:rFonts w:ascii="Arial" w:hAnsi="Arial" w:cs="Arial"/>
              <w:sz w:val="18"/>
              <w:szCs w:val="18"/>
              <w:lang w:val="en-US"/>
            </w:rPr>
            <w:t>7197</w:t>
          </w:r>
        </w:p>
        <w:p w14:paraId="71712FC5" w14:textId="77777777" w:rsidR="000B0EED" w:rsidRPr="000B0EED" w:rsidRDefault="00CD7396" w:rsidP="00124B52">
          <w:pPr>
            <w:pStyle w:val="Head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0B0EED">
            <w:rPr>
              <w:rFonts w:ascii="Arial" w:hAnsi="Arial" w:cs="Arial"/>
              <w:b/>
              <w:sz w:val="18"/>
              <w:szCs w:val="18"/>
              <w:lang w:val="en-US"/>
            </w:rPr>
            <w:t>Pamela Talley</w:t>
          </w:r>
        </w:p>
        <w:p w14:paraId="3E71E808" w14:textId="32DF56D8" w:rsidR="000B0EED" w:rsidRPr="000B0EED" w:rsidRDefault="00CD7396" w:rsidP="00124B52">
          <w:pPr>
            <w:pStyle w:val="Head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0B0EED">
            <w:rPr>
              <w:rFonts w:ascii="Arial" w:hAnsi="Arial" w:cs="Arial"/>
              <w:b/>
              <w:sz w:val="18"/>
              <w:szCs w:val="18"/>
              <w:lang w:val="en-US"/>
            </w:rPr>
            <w:t>Leanne Carmona</w:t>
          </w:r>
        </w:p>
        <w:p w14:paraId="3368DCEF" w14:textId="3D137170" w:rsidR="00476DF2" w:rsidRPr="00A071EF" w:rsidRDefault="000B0EED" w:rsidP="00124B52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SEAC </w:t>
          </w:r>
          <w:r w:rsidR="00CD7396" w:rsidRPr="00A071EF">
            <w:rPr>
              <w:rFonts w:ascii="Arial" w:hAnsi="Arial" w:cs="Arial"/>
              <w:sz w:val="18"/>
              <w:szCs w:val="18"/>
              <w:lang w:val="en-US"/>
            </w:rPr>
            <w:t>Co-Chair</w:t>
          </w:r>
          <w:r>
            <w:rPr>
              <w:rFonts w:ascii="Arial" w:hAnsi="Arial" w:cs="Arial"/>
              <w:sz w:val="18"/>
              <w:szCs w:val="18"/>
              <w:lang w:val="en-US"/>
            </w:rPr>
            <w:t>s</w:t>
          </w:r>
        </w:p>
      </w:tc>
    </w:tr>
  </w:tbl>
  <w:p w14:paraId="21CADE2E" w14:textId="77777777" w:rsidR="00054EB2" w:rsidRPr="0006422B" w:rsidRDefault="00054EB2" w:rsidP="00C004D1">
    <w:pPr>
      <w:pStyle w:val="Header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DBF"/>
    <w:multiLevelType w:val="hybridMultilevel"/>
    <w:tmpl w:val="4EAE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2E6A"/>
    <w:multiLevelType w:val="hybridMultilevel"/>
    <w:tmpl w:val="C0BC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616D"/>
    <w:multiLevelType w:val="hybridMultilevel"/>
    <w:tmpl w:val="DAD2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1"/>
  <w:activeWritingStyle w:appName="MSWord" w:lang="en-US" w:vendorID="64" w:dllVersion="6" w:nlCheck="1" w:checkStyle="1"/>
  <w:proofState w:spelling="clean" w:grammar="clean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D1"/>
    <w:rsid w:val="00006482"/>
    <w:rsid w:val="000324DE"/>
    <w:rsid w:val="00054EB2"/>
    <w:rsid w:val="000572BB"/>
    <w:rsid w:val="0006422B"/>
    <w:rsid w:val="00065794"/>
    <w:rsid w:val="000703D8"/>
    <w:rsid w:val="00071CFE"/>
    <w:rsid w:val="00083DBA"/>
    <w:rsid w:val="00092C1B"/>
    <w:rsid w:val="000A2B86"/>
    <w:rsid w:val="000A772D"/>
    <w:rsid w:val="000B0EED"/>
    <w:rsid w:val="000D0A31"/>
    <w:rsid w:val="000D396D"/>
    <w:rsid w:val="000D481F"/>
    <w:rsid w:val="00103EA8"/>
    <w:rsid w:val="001107E0"/>
    <w:rsid w:val="00113D69"/>
    <w:rsid w:val="00121549"/>
    <w:rsid w:val="00124B52"/>
    <w:rsid w:val="001302F8"/>
    <w:rsid w:val="001323B9"/>
    <w:rsid w:val="00142D5D"/>
    <w:rsid w:val="00143FE4"/>
    <w:rsid w:val="0015045A"/>
    <w:rsid w:val="00155C9C"/>
    <w:rsid w:val="00167270"/>
    <w:rsid w:val="00170176"/>
    <w:rsid w:val="00177568"/>
    <w:rsid w:val="0019091E"/>
    <w:rsid w:val="001A2645"/>
    <w:rsid w:val="001A40D7"/>
    <w:rsid w:val="001A51AA"/>
    <w:rsid w:val="001A7CBC"/>
    <w:rsid w:val="001C7DE5"/>
    <w:rsid w:val="001D1AEA"/>
    <w:rsid w:val="001D6782"/>
    <w:rsid w:val="001E4852"/>
    <w:rsid w:val="001F0F21"/>
    <w:rsid w:val="00210A35"/>
    <w:rsid w:val="00225FE1"/>
    <w:rsid w:val="00261124"/>
    <w:rsid w:val="002D7487"/>
    <w:rsid w:val="002E0900"/>
    <w:rsid w:val="002F4E51"/>
    <w:rsid w:val="00304671"/>
    <w:rsid w:val="00307189"/>
    <w:rsid w:val="003137DE"/>
    <w:rsid w:val="00327B9D"/>
    <w:rsid w:val="0033142F"/>
    <w:rsid w:val="003318D9"/>
    <w:rsid w:val="00347DA2"/>
    <w:rsid w:val="0035104F"/>
    <w:rsid w:val="00352270"/>
    <w:rsid w:val="00356271"/>
    <w:rsid w:val="003616EF"/>
    <w:rsid w:val="00376259"/>
    <w:rsid w:val="003762C5"/>
    <w:rsid w:val="00383729"/>
    <w:rsid w:val="003924B3"/>
    <w:rsid w:val="0039408F"/>
    <w:rsid w:val="003A162F"/>
    <w:rsid w:val="003A3FE1"/>
    <w:rsid w:val="003B3D20"/>
    <w:rsid w:val="003C78AC"/>
    <w:rsid w:val="003D2491"/>
    <w:rsid w:val="003D35D1"/>
    <w:rsid w:val="004020D1"/>
    <w:rsid w:val="00405462"/>
    <w:rsid w:val="00424369"/>
    <w:rsid w:val="00424EFA"/>
    <w:rsid w:val="00433E08"/>
    <w:rsid w:val="00451052"/>
    <w:rsid w:val="0045368F"/>
    <w:rsid w:val="004703DB"/>
    <w:rsid w:val="00476DF2"/>
    <w:rsid w:val="00486558"/>
    <w:rsid w:val="004A4BB0"/>
    <w:rsid w:val="004C1070"/>
    <w:rsid w:val="004D2648"/>
    <w:rsid w:val="004D2656"/>
    <w:rsid w:val="004F686E"/>
    <w:rsid w:val="00501431"/>
    <w:rsid w:val="005231D1"/>
    <w:rsid w:val="00524573"/>
    <w:rsid w:val="00533651"/>
    <w:rsid w:val="00540D85"/>
    <w:rsid w:val="00546FAE"/>
    <w:rsid w:val="00584280"/>
    <w:rsid w:val="005851A5"/>
    <w:rsid w:val="0059244F"/>
    <w:rsid w:val="005A0916"/>
    <w:rsid w:val="005B2BC0"/>
    <w:rsid w:val="005C57DF"/>
    <w:rsid w:val="005D2D58"/>
    <w:rsid w:val="005D3CFE"/>
    <w:rsid w:val="005D4767"/>
    <w:rsid w:val="005E7C48"/>
    <w:rsid w:val="0060309C"/>
    <w:rsid w:val="00605EA1"/>
    <w:rsid w:val="00635BF3"/>
    <w:rsid w:val="00653C03"/>
    <w:rsid w:val="00660174"/>
    <w:rsid w:val="00677A58"/>
    <w:rsid w:val="00690E36"/>
    <w:rsid w:val="006A6B04"/>
    <w:rsid w:val="006B38B0"/>
    <w:rsid w:val="006B3999"/>
    <w:rsid w:val="006C51FF"/>
    <w:rsid w:val="006D35F9"/>
    <w:rsid w:val="006E10E7"/>
    <w:rsid w:val="006F4BDE"/>
    <w:rsid w:val="00702121"/>
    <w:rsid w:val="0071326A"/>
    <w:rsid w:val="00720EBB"/>
    <w:rsid w:val="007352CD"/>
    <w:rsid w:val="00744B4D"/>
    <w:rsid w:val="00745B8B"/>
    <w:rsid w:val="007603D5"/>
    <w:rsid w:val="00761211"/>
    <w:rsid w:val="00761C3D"/>
    <w:rsid w:val="007622BA"/>
    <w:rsid w:val="007648FD"/>
    <w:rsid w:val="00766070"/>
    <w:rsid w:val="0077152F"/>
    <w:rsid w:val="007877C0"/>
    <w:rsid w:val="007D5957"/>
    <w:rsid w:val="007D6804"/>
    <w:rsid w:val="007E17B6"/>
    <w:rsid w:val="007F1498"/>
    <w:rsid w:val="008123CE"/>
    <w:rsid w:val="00842F0B"/>
    <w:rsid w:val="008471D0"/>
    <w:rsid w:val="00851912"/>
    <w:rsid w:val="00857E0A"/>
    <w:rsid w:val="00861BE0"/>
    <w:rsid w:val="008705CA"/>
    <w:rsid w:val="0087425A"/>
    <w:rsid w:val="00877ED6"/>
    <w:rsid w:val="008A331C"/>
    <w:rsid w:val="008D14C8"/>
    <w:rsid w:val="008D3DC3"/>
    <w:rsid w:val="008D46A3"/>
    <w:rsid w:val="008E06B3"/>
    <w:rsid w:val="008E38C8"/>
    <w:rsid w:val="008F26C4"/>
    <w:rsid w:val="008F2D1E"/>
    <w:rsid w:val="00902276"/>
    <w:rsid w:val="009023D2"/>
    <w:rsid w:val="00920ABE"/>
    <w:rsid w:val="00922EEA"/>
    <w:rsid w:val="0094346B"/>
    <w:rsid w:val="00944862"/>
    <w:rsid w:val="009821B0"/>
    <w:rsid w:val="009853C5"/>
    <w:rsid w:val="00987C4F"/>
    <w:rsid w:val="00992ECE"/>
    <w:rsid w:val="009B4B5A"/>
    <w:rsid w:val="009E04C2"/>
    <w:rsid w:val="00A01FD2"/>
    <w:rsid w:val="00A03102"/>
    <w:rsid w:val="00A071EF"/>
    <w:rsid w:val="00A130EC"/>
    <w:rsid w:val="00A14948"/>
    <w:rsid w:val="00A14978"/>
    <w:rsid w:val="00A678A7"/>
    <w:rsid w:val="00A95A72"/>
    <w:rsid w:val="00AA74DC"/>
    <w:rsid w:val="00AB2001"/>
    <w:rsid w:val="00AB44D1"/>
    <w:rsid w:val="00AC1A54"/>
    <w:rsid w:val="00AC3B03"/>
    <w:rsid w:val="00AC4275"/>
    <w:rsid w:val="00AD21E9"/>
    <w:rsid w:val="00AD26D5"/>
    <w:rsid w:val="00AE3B7E"/>
    <w:rsid w:val="00AF099B"/>
    <w:rsid w:val="00AF6DEE"/>
    <w:rsid w:val="00AF786B"/>
    <w:rsid w:val="00B0073C"/>
    <w:rsid w:val="00B027EB"/>
    <w:rsid w:val="00B10058"/>
    <w:rsid w:val="00B12DE3"/>
    <w:rsid w:val="00B150D8"/>
    <w:rsid w:val="00B15906"/>
    <w:rsid w:val="00B20B01"/>
    <w:rsid w:val="00B224BF"/>
    <w:rsid w:val="00B26E9C"/>
    <w:rsid w:val="00B31EC4"/>
    <w:rsid w:val="00B33F53"/>
    <w:rsid w:val="00B7696D"/>
    <w:rsid w:val="00B87C1C"/>
    <w:rsid w:val="00B96B91"/>
    <w:rsid w:val="00B97DBD"/>
    <w:rsid w:val="00BA45EE"/>
    <w:rsid w:val="00BA6276"/>
    <w:rsid w:val="00BB2C53"/>
    <w:rsid w:val="00BC2D73"/>
    <w:rsid w:val="00BD28A9"/>
    <w:rsid w:val="00BE1223"/>
    <w:rsid w:val="00BE6C21"/>
    <w:rsid w:val="00C000E9"/>
    <w:rsid w:val="00C004D1"/>
    <w:rsid w:val="00C020FB"/>
    <w:rsid w:val="00C21795"/>
    <w:rsid w:val="00C23D47"/>
    <w:rsid w:val="00C2502A"/>
    <w:rsid w:val="00C26A20"/>
    <w:rsid w:val="00C3155A"/>
    <w:rsid w:val="00C33964"/>
    <w:rsid w:val="00C37E38"/>
    <w:rsid w:val="00C42BE5"/>
    <w:rsid w:val="00C443E2"/>
    <w:rsid w:val="00C70C0F"/>
    <w:rsid w:val="00C75F5D"/>
    <w:rsid w:val="00C861E2"/>
    <w:rsid w:val="00C907C7"/>
    <w:rsid w:val="00CB6417"/>
    <w:rsid w:val="00CB78D3"/>
    <w:rsid w:val="00CC1123"/>
    <w:rsid w:val="00CC5BA2"/>
    <w:rsid w:val="00CD5BAD"/>
    <w:rsid w:val="00CD7396"/>
    <w:rsid w:val="00CE2AE3"/>
    <w:rsid w:val="00CF750A"/>
    <w:rsid w:val="00D106E1"/>
    <w:rsid w:val="00D560E5"/>
    <w:rsid w:val="00D67714"/>
    <w:rsid w:val="00D75986"/>
    <w:rsid w:val="00D94FC6"/>
    <w:rsid w:val="00DB6F6D"/>
    <w:rsid w:val="00DC5C2F"/>
    <w:rsid w:val="00DD40C9"/>
    <w:rsid w:val="00DE1C8F"/>
    <w:rsid w:val="00DF03C0"/>
    <w:rsid w:val="00E12C96"/>
    <w:rsid w:val="00E143A0"/>
    <w:rsid w:val="00E20627"/>
    <w:rsid w:val="00E2145C"/>
    <w:rsid w:val="00E327B1"/>
    <w:rsid w:val="00E34EFB"/>
    <w:rsid w:val="00E606D4"/>
    <w:rsid w:val="00E7268C"/>
    <w:rsid w:val="00E736D5"/>
    <w:rsid w:val="00E744CF"/>
    <w:rsid w:val="00E76EE4"/>
    <w:rsid w:val="00E801DA"/>
    <w:rsid w:val="00EA0991"/>
    <w:rsid w:val="00EA0D13"/>
    <w:rsid w:val="00EA183C"/>
    <w:rsid w:val="00EA5AC3"/>
    <w:rsid w:val="00EA7D22"/>
    <w:rsid w:val="00EB7A68"/>
    <w:rsid w:val="00ED1321"/>
    <w:rsid w:val="00ED688A"/>
    <w:rsid w:val="00EE3B8A"/>
    <w:rsid w:val="00EE3F03"/>
    <w:rsid w:val="00EE6775"/>
    <w:rsid w:val="00EE6FE3"/>
    <w:rsid w:val="00EF6D4C"/>
    <w:rsid w:val="00F06626"/>
    <w:rsid w:val="00F20A97"/>
    <w:rsid w:val="00F23172"/>
    <w:rsid w:val="00F40831"/>
    <w:rsid w:val="00F41A39"/>
    <w:rsid w:val="00F5348F"/>
    <w:rsid w:val="00F63E01"/>
    <w:rsid w:val="00F71CE5"/>
    <w:rsid w:val="00F77756"/>
    <w:rsid w:val="00F970C4"/>
    <w:rsid w:val="00FA283E"/>
    <w:rsid w:val="00FC3B98"/>
    <w:rsid w:val="00FE7C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3E3BBE0"/>
  <w15:docId w15:val="{0A6F811E-47BD-4923-ADF6-F53C227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2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3215"/>
    <w:rPr>
      <w:sz w:val="24"/>
      <w:szCs w:val="24"/>
    </w:rPr>
  </w:style>
  <w:style w:type="paragraph" w:styleId="Footer">
    <w:name w:val="footer"/>
    <w:basedOn w:val="Normal"/>
    <w:link w:val="FooterChar"/>
    <w:rsid w:val="005F32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3215"/>
    <w:rPr>
      <w:sz w:val="24"/>
      <w:szCs w:val="24"/>
    </w:rPr>
  </w:style>
  <w:style w:type="character" w:styleId="Hyperlink">
    <w:name w:val="Hyperlink"/>
    <w:uiPriority w:val="99"/>
    <w:rsid w:val="00944862"/>
    <w:rPr>
      <w:color w:val="0000FF"/>
      <w:u w:val="single"/>
    </w:rPr>
  </w:style>
  <w:style w:type="character" w:styleId="Strong">
    <w:name w:val="Strong"/>
    <w:uiPriority w:val="22"/>
    <w:qFormat/>
    <w:rsid w:val="003318D9"/>
    <w:rPr>
      <w:b/>
      <w:bCs/>
    </w:rPr>
  </w:style>
  <w:style w:type="paragraph" w:styleId="BalloonText">
    <w:name w:val="Balloon Text"/>
    <w:basedOn w:val="Normal"/>
    <w:link w:val="BalloonTextChar"/>
    <w:rsid w:val="00C0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4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616EF"/>
  </w:style>
  <w:style w:type="character" w:customStyle="1" w:styleId="mainbodytext">
    <w:name w:val="mainbodytext"/>
    <w:rsid w:val="003616EF"/>
  </w:style>
  <w:style w:type="character" w:styleId="FollowedHyperlink">
    <w:name w:val="FollowedHyperlink"/>
    <w:basedOn w:val="DefaultParagraphFont"/>
    <w:rsid w:val="005851A5"/>
    <w:rPr>
      <w:color w:val="800080" w:themeColor="followedHyperlink"/>
      <w:u w:val="single"/>
    </w:rPr>
  </w:style>
  <w:style w:type="table" w:styleId="TableGrid">
    <w:name w:val="Table Grid"/>
    <w:basedOn w:val="TableNormal"/>
    <w:rsid w:val="0017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C2F"/>
    <w:rPr>
      <w:color w:val="605E5C"/>
      <w:shd w:val="clear" w:color="auto" w:fill="E1DFDD"/>
    </w:rPr>
  </w:style>
  <w:style w:type="character" w:customStyle="1" w:styleId="vsarpd">
    <w:name w:val="vsarpd"/>
    <w:basedOn w:val="DefaultParagraphFont"/>
    <w:rsid w:val="00225FE1"/>
  </w:style>
  <w:style w:type="character" w:customStyle="1" w:styleId="dpvwyc">
    <w:name w:val="dpvwyc"/>
    <w:basedOn w:val="DefaultParagraphFont"/>
    <w:rsid w:val="00225FE1"/>
  </w:style>
  <w:style w:type="paragraph" w:styleId="ListParagraph">
    <w:name w:val="List Paragraph"/>
    <w:basedOn w:val="Normal"/>
    <w:rsid w:val="00225F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183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90AAB-7E01-4D94-9464-A0C25AFAFBFD}"/>
</file>

<file path=customXml/itemProps2.xml><?xml version="1.0" encoding="utf-8"?>
<ds:datastoreItem xmlns:ds="http://schemas.openxmlformats.org/officeDocument/2006/customXml" ds:itemID="{ADDA2182-2643-443C-9CBF-91BDA94F0794}"/>
</file>

<file path=customXml/itemProps3.xml><?xml version="1.0" encoding="utf-8"?>
<ds:datastoreItem xmlns:ds="http://schemas.openxmlformats.org/officeDocument/2006/customXml" ds:itemID="{D1211F65-CAB5-4A93-936C-341238382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SESACAgenda_April222020</vt:lpstr>
    </vt:vector>
  </TitlesOfParts>
  <Manager>DEI/SES</Manager>
  <Company>Maryland State Department of Education</Company>
  <LinksUpToDate>false</LinksUpToDate>
  <CharactersWithSpaces>3753</CharactersWithSpaces>
  <SharedDoc>false</SharedDoc>
  <HyperlinkBase/>
  <HLinks>
    <vt:vector size="6" baseType="variant"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mailto:carmen.brown1@maryland.gov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SESACAgenda_April222020</dc:title>
  <dc:subject>SESAC Agenda for April 22, 2020</dc:subject>
  <dc:creator>Carmen Brown</dc:creator>
  <cp:keywords>SESAC</cp:keywords>
  <dc:description/>
  <cp:lastModifiedBy>Windows User</cp:lastModifiedBy>
  <cp:revision>2</cp:revision>
  <cp:lastPrinted>2020-02-07T15:09:00Z</cp:lastPrinted>
  <dcterms:created xsi:type="dcterms:W3CDTF">2021-07-29T18:21:00Z</dcterms:created>
  <dcterms:modified xsi:type="dcterms:W3CDTF">2021-07-29T18:21:00Z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486400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