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B27D" w14:textId="77777777" w:rsidR="00327A98" w:rsidRPr="00327A98" w:rsidRDefault="00327A98" w:rsidP="00327A98">
      <w:pPr>
        <w:keepNext/>
        <w:keepLines/>
        <w:spacing w:after="0"/>
        <w:outlineLvl w:val="0"/>
        <w:rPr>
          <w:rFonts w:ascii="Lato" w:eastAsia="Lato" w:hAnsi="Lato" w:cs="Lato"/>
          <w:b/>
          <w:color w:val="01599D"/>
          <w:sz w:val="36"/>
          <w:szCs w:val="21"/>
        </w:rPr>
      </w:pPr>
      <w:bookmarkStart w:id="0" w:name="_Toc102135521"/>
      <w:r w:rsidRPr="00327A98">
        <w:rPr>
          <w:rFonts w:ascii="Lato" w:eastAsia="Lato" w:hAnsi="Lato" w:cs="Lato"/>
          <w:b/>
          <w:color w:val="01599D"/>
          <w:sz w:val="36"/>
          <w:szCs w:val="21"/>
        </w:rPr>
        <w:t>Certifications Regarding Lobbying, Debarment, Suspension, Other Responsibility Matters, and Drug-Free Workplace</w:t>
      </w:r>
      <w:bookmarkEnd w:id="0"/>
    </w:p>
    <w:p w14:paraId="61083F53" w14:textId="77777777" w:rsidR="00327A98" w:rsidRPr="00327A98" w:rsidRDefault="00327A98" w:rsidP="00327A98">
      <w:pPr>
        <w:spacing w:before="240" w:after="120" w:line="276" w:lineRule="auto"/>
        <w:outlineLvl w:val="1"/>
        <w:rPr>
          <w:rFonts w:ascii="Lato" w:eastAsia="Lato" w:hAnsi="Lato" w:cs="Times New Roman (Body CS)"/>
          <w:b/>
          <w:caps/>
          <w:color w:val="000000"/>
          <w:sz w:val="20"/>
          <w:szCs w:val="18"/>
        </w:rPr>
      </w:pPr>
      <w:bookmarkStart w:id="1" w:name="_Toc102135522"/>
      <w:r w:rsidRPr="00327A98">
        <w:rPr>
          <w:rFonts w:ascii="Lato" w:eastAsia="Lato" w:hAnsi="Lato" w:cs="Times New Roman (Body CS)"/>
          <w:b/>
          <w:caps/>
          <w:color w:val="01599D"/>
          <w:sz w:val="20"/>
          <w:szCs w:val="18"/>
        </w:rPr>
        <w:t>Lobbying</w:t>
      </w:r>
      <w:bookmarkEnd w:id="1"/>
    </w:p>
    <w:p w14:paraId="14722BCC" w14:textId="77777777" w:rsidR="00327A98" w:rsidRPr="00327A98" w:rsidRDefault="00327A98" w:rsidP="00327A98">
      <w:pPr>
        <w:jc w:val="both"/>
        <w:rPr>
          <w:rFonts w:ascii="Lato" w:eastAsia="Lato" w:hAnsi="Lato" w:cs="Lato"/>
          <w:color w:val="000000"/>
          <w:sz w:val="20"/>
        </w:rPr>
      </w:pPr>
      <w:r w:rsidRPr="00327A98">
        <w:rPr>
          <w:rFonts w:ascii="Lato" w:eastAsia="Lato" w:hAnsi="Lato" w:cs="Lato"/>
          <w:color w:val="000000"/>
          <w:sz w:val="20"/>
        </w:rPr>
        <w:t xml:space="preserve">As required by Section 1352, Title 31 of the U.S. Code, and implemented at </w:t>
      </w:r>
      <w:hyperlink r:id="rId4">
        <w:r w:rsidRPr="00327A98">
          <w:rPr>
            <w:rFonts w:ascii="Lato" w:eastAsia="Lato" w:hAnsi="Lato" w:cs="Lato"/>
            <w:color w:val="1155CC"/>
            <w:sz w:val="20"/>
            <w:u w:val="single"/>
          </w:rPr>
          <w:t>34 CFR Part 82</w:t>
        </w:r>
      </w:hyperlink>
      <w:r w:rsidRPr="00327A98">
        <w:rPr>
          <w:rFonts w:ascii="Lato" w:eastAsia="Lato" w:hAnsi="Lato" w:cs="Lato"/>
          <w:color w:val="000000"/>
          <w:sz w:val="20"/>
        </w:rPr>
        <w:t xml:space="preserve">, for persons entering into a grant or cooperative agreement over $100,000, as defined at 34 CFR Part 82, Sections </w:t>
      </w:r>
      <w:hyperlink r:id="rId5">
        <w:r w:rsidRPr="00327A98">
          <w:rPr>
            <w:rFonts w:ascii="Lato" w:eastAsia="Lato" w:hAnsi="Lato" w:cs="Lato"/>
            <w:color w:val="1155CC"/>
            <w:sz w:val="20"/>
            <w:u w:val="single"/>
          </w:rPr>
          <w:t>82.105</w:t>
        </w:r>
      </w:hyperlink>
      <w:r w:rsidRPr="00327A98">
        <w:rPr>
          <w:rFonts w:ascii="Lato" w:eastAsia="Lato" w:hAnsi="Lato" w:cs="Lato"/>
          <w:color w:val="000000"/>
          <w:sz w:val="20"/>
        </w:rPr>
        <w:t xml:space="preserve"> and </w:t>
      </w:r>
      <w:hyperlink r:id="rId6">
        <w:r w:rsidRPr="00327A98">
          <w:rPr>
            <w:rFonts w:ascii="Lato" w:eastAsia="Lato" w:hAnsi="Lato" w:cs="Lato"/>
            <w:color w:val="1155CC"/>
            <w:sz w:val="20"/>
            <w:u w:val="single"/>
          </w:rPr>
          <w:t>82.110</w:t>
        </w:r>
      </w:hyperlink>
      <w:r w:rsidRPr="00327A98">
        <w:rPr>
          <w:rFonts w:ascii="Lato" w:eastAsia="Lato" w:hAnsi="Lato" w:cs="Lato"/>
          <w:color w:val="000000"/>
          <w:sz w:val="20"/>
        </w:rPr>
        <w:t>, the applicant certifies that:</w:t>
      </w:r>
    </w:p>
    <w:p w14:paraId="7B06E003" w14:textId="77777777" w:rsidR="00327A98" w:rsidRPr="00327A98" w:rsidRDefault="00327A98" w:rsidP="00327A98">
      <w:pPr>
        <w:jc w:val="both"/>
        <w:rPr>
          <w:rFonts w:ascii="Lato" w:eastAsia="Lato" w:hAnsi="Lato" w:cs="Lato"/>
          <w:color w:val="000000"/>
          <w:sz w:val="20"/>
        </w:rPr>
      </w:pPr>
      <w:r w:rsidRPr="00327A98">
        <w:rPr>
          <w:rFonts w:ascii="Lato" w:eastAsia="Lato" w:hAnsi="Lato" w:cs="Lato"/>
          <w:color w:val="000000"/>
          <w:sz w:val="20"/>
          <w:highlight w:val="white"/>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51CCC80D" w14:textId="77777777" w:rsidR="00327A98" w:rsidRPr="00327A98" w:rsidRDefault="00327A98" w:rsidP="00327A98">
      <w:pPr>
        <w:jc w:val="both"/>
        <w:rPr>
          <w:rFonts w:ascii="Lato" w:eastAsia="Lato" w:hAnsi="Lato" w:cs="Lato"/>
          <w:color w:val="000000"/>
          <w:sz w:val="20"/>
        </w:rPr>
      </w:pPr>
      <w:r w:rsidRPr="00327A98">
        <w:rPr>
          <w:rFonts w:ascii="Lato" w:eastAsia="Lato" w:hAnsi="Lato" w:cs="Lato"/>
          <w:color w:val="000000"/>
          <w:sz w:val="20"/>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Form to Report Lobbying,” per its instructions.</w:t>
      </w:r>
    </w:p>
    <w:p w14:paraId="38238964" w14:textId="77777777" w:rsidR="00327A98" w:rsidRPr="00327A98" w:rsidRDefault="00327A98" w:rsidP="00327A98">
      <w:pPr>
        <w:jc w:val="both"/>
        <w:rPr>
          <w:rFonts w:ascii="Lato" w:eastAsia="Lato" w:hAnsi="Lato" w:cs="Lato"/>
          <w:color w:val="000000"/>
          <w:sz w:val="20"/>
        </w:rPr>
      </w:pPr>
      <w:r w:rsidRPr="00327A98">
        <w:rPr>
          <w:rFonts w:ascii="Lato" w:eastAsia="Lato" w:hAnsi="Lato" w:cs="Lato"/>
          <w:color w:val="000000"/>
          <w:sz w:val="20"/>
        </w:rPr>
        <w:t>3. The undersigned shall require that the language of this certification be included in the award documents for all subawards at all tiers (including subcontracts, subgrants, contracts under grants, loans, and cooperative agreements) and that all subrecipients shall certify and disclose accordingly.</w:t>
      </w:r>
    </w:p>
    <w:p w14:paraId="465AA608" w14:textId="77777777" w:rsidR="00327A98" w:rsidRPr="00327A98" w:rsidRDefault="00327A98" w:rsidP="00327A98">
      <w:pPr>
        <w:spacing w:before="240" w:after="120" w:line="276" w:lineRule="auto"/>
        <w:outlineLvl w:val="1"/>
        <w:rPr>
          <w:rFonts w:ascii="Lato" w:eastAsia="Lato" w:hAnsi="Lato" w:cs="Times New Roman (Body CS)"/>
          <w:b/>
          <w:caps/>
          <w:color w:val="000000"/>
          <w:sz w:val="20"/>
          <w:szCs w:val="18"/>
        </w:rPr>
      </w:pPr>
      <w:bookmarkStart w:id="2" w:name="_Toc102135523"/>
      <w:r w:rsidRPr="00327A98">
        <w:rPr>
          <w:rFonts w:ascii="Lato" w:eastAsia="Lato" w:hAnsi="Lato" w:cs="Times New Roman (Body CS)"/>
          <w:b/>
          <w:caps/>
          <w:color w:val="01599D"/>
          <w:sz w:val="20"/>
          <w:szCs w:val="18"/>
        </w:rPr>
        <w:t>Debarment, Suspension, and Other Responsibility Matters</w:t>
      </w:r>
      <w:bookmarkEnd w:id="2"/>
    </w:p>
    <w:p w14:paraId="1EA05F8B" w14:textId="77777777" w:rsidR="00327A98" w:rsidRPr="00327A98" w:rsidRDefault="00327A98" w:rsidP="00327A98">
      <w:pPr>
        <w:jc w:val="both"/>
        <w:rPr>
          <w:rFonts w:ascii="Lato" w:eastAsia="Lato" w:hAnsi="Lato" w:cs="Lato"/>
          <w:color w:val="000000"/>
          <w:sz w:val="20"/>
        </w:rPr>
      </w:pPr>
      <w:r w:rsidRPr="00327A98">
        <w:rPr>
          <w:rFonts w:ascii="Lato" w:eastAsia="Lato" w:hAnsi="Lato" w:cs="Lato"/>
          <w:color w:val="000000"/>
          <w:sz w:val="20"/>
        </w:rPr>
        <w:t xml:space="preserve">As required by Executive Orders 12549 and 12689, Debarment and Suspension, and implemented at </w:t>
      </w:r>
      <w:hyperlink r:id="rId7" w:anchor=":~:text=The%20new%202%20CFR%20part%203485%20adopts%20the,Department%27s%20nonprocurement%20debarment%20and%20suspension%20regulations%20is%20unchanged.">
        <w:r w:rsidRPr="00327A98">
          <w:rPr>
            <w:rFonts w:ascii="Lato" w:eastAsia="Lato" w:hAnsi="Lato" w:cs="Lato"/>
            <w:color w:val="1155CC"/>
            <w:sz w:val="20"/>
            <w:u w:val="single"/>
          </w:rPr>
          <w:t>2 CFR Part 3485</w:t>
        </w:r>
      </w:hyperlink>
      <w:r w:rsidRPr="00327A98">
        <w:rPr>
          <w:rFonts w:ascii="Lato" w:eastAsia="Lato" w:hAnsi="Lato" w:cs="Lato"/>
          <w:color w:val="000000"/>
          <w:sz w:val="20"/>
        </w:rPr>
        <w:t xml:space="preserve">, for prospective participants in primary covered transactions, as defined at </w:t>
      </w:r>
      <w:hyperlink r:id="rId8" w:anchor=":~:text=The%20new%202%20CFR%20part%203485%20adopts%20the,Department%27s%20nonprocurement%20debarment%20and%20suspension%20regulations%20is%20unchanged.">
        <w:r w:rsidRPr="00327A98">
          <w:rPr>
            <w:rFonts w:ascii="Lato" w:eastAsia="Lato" w:hAnsi="Lato" w:cs="Lato"/>
            <w:color w:val="1155CC"/>
            <w:sz w:val="20"/>
            <w:u w:val="single"/>
          </w:rPr>
          <w:t>2 CFR Part 3485</w:t>
        </w:r>
      </w:hyperlink>
      <w:r w:rsidRPr="00327A98">
        <w:rPr>
          <w:rFonts w:ascii="Lato" w:eastAsia="Lato" w:hAnsi="Lato" w:cs="Lato"/>
          <w:color w:val="000000"/>
          <w:sz w:val="20"/>
        </w:rPr>
        <w:t xml:space="preserve"> and </w:t>
      </w:r>
      <w:hyperlink r:id="rId9">
        <w:r w:rsidRPr="00327A98">
          <w:rPr>
            <w:rFonts w:ascii="Lato" w:eastAsia="Lato" w:hAnsi="Lato" w:cs="Lato"/>
            <w:color w:val="1155CC"/>
            <w:sz w:val="20"/>
            <w:u w:val="single"/>
          </w:rPr>
          <w:t>2 CFR Part 180,</w:t>
        </w:r>
      </w:hyperlink>
      <w:r w:rsidRPr="00327A98">
        <w:rPr>
          <w:rFonts w:ascii="Lato" w:eastAsia="Lato" w:hAnsi="Lato" w:cs="Lato"/>
          <w:color w:val="000000"/>
          <w:sz w:val="20"/>
        </w:rPr>
        <w:t xml:space="preserve"> the applicant and its principals:</w:t>
      </w:r>
    </w:p>
    <w:p w14:paraId="097E1AC9" w14:textId="77777777" w:rsidR="00327A98" w:rsidRPr="00327A98" w:rsidRDefault="00327A98" w:rsidP="00327A98">
      <w:pPr>
        <w:jc w:val="both"/>
        <w:rPr>
          <w:rFonts w:ascii="Lato" w:eastAsia="Lato" w:hAnsi="Lato" w:cs="Lato"/>
          <w:color w:val="000000"/>
          <w:sz w:val="20"/>
        </w:rPr>
      </w:pPr>
      <w:r w:rsidRPr="00327A98">
        <w:rPr>
          <w:rFonts w:ascii="Lato" w:eastAsia="Lato" w:hAnsi="Lato" w:cs="Lato"/>
          <w:color w:val="000000"/>
          <w:sz w:val="20"/>
        </w:rPr>
        <w:t xml:space="preserve">1. Are not presently debarred, suspended, proposed for debarment, declared ineligible, or voluntarily excluded from covered transactions by any Federal department or </w:t>
      </w:r>
      <w:proofErr w:type="gramStart"/>
      <w:r w:rsidRPr="00327A98">
        <w:rPr>
          <w:rFonts w:ascii="Lato" w:eastAsia="Lato" w:hAnsi="Lato" w:cs="Lato"/>
          <w:color w:val="000000"/>
          <w:sz w:val="20"/>
        </w:rPr>
        <w:t>agency;</w:t>
      </w:r>
      <w:proofErr w:type="gramEnd"/>
    </w:p>
    <w:p w14:paraId="45D648D7" w14:textId="77777777" w:rsidR="00327A98" w:rsidRPr="00327A98" w:rsidRDefault="00327A98" w:rsidP="00327A98">
      <w:pPr>
        <w:jc w:val="both"/>
        <w:rPr>
          <w:rFonts w:ascii="Lato" w:eastAsia="Lato" w:hAnsi="Lato" w:cs="Lato"/>
          <w:color w:val="000000"/>
          <w:sz w:val="20"/>
        </w:rPr>
      </w:pPr>
      <w:r w:rsidRPr="00327A98">
        <w:rPr>
          <w:rFonts w:ascii="Lato" w:eastAsia="Lato" w:hAnsi="Lato" w:cs="Lato"/>
          <w:color w:val="000000"/>
          <w:sz w:val="20"/>
        </w:rPr>
        <w:t>2. Have not within three years preceding this application been convicted of or had a civil judgment rendered against them for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48B5464F" w14:textId="77777777" w:rsidR="00327A98" w:rsidRPr="00327A98" w:rsidRDefault="00327A98" w:rsidP="00327A98">
      <w:pPr>
        <w:jc w:val="both"/>
        <w:rPr>
          <w:rFonts w:ascii="Lato" w:eastAsia="Lato" w:hAnsi="Lato" w:cs="Lato"/>
          <w:color w:val="000000"/>
          <w:sz w:val="20"/>
        </w:rPr>
      </w:pPr>
      <w:r w:rsidRPr="00327A98">
        <w:rPr>
          <w:rFonts w:ascii="Lato" w:eastAsia="Lato" w:hAnsi="Lato" w:cs="Lato"/>
          <w:color w:val="000000"/>
          <w:sz w:val="20"/>
        </w:rPr>
        <w:t>3. Are not presently indicted for or otherwise criminally or civilly charged by a governmental entity (federal, State, or local) with the commission of any of the offenses enumerated in paragraph (2)(b) of this certification; and</w:t>
      </w:r>
    </w:p>
    <w:p w14:paraId="6D57153F" w14:textId="77777777" w:rsidR="00327A98" w:rsidRPr="00327A98" w:rsidRDefault="00327A98" w:rsidP="00327A98">
      <w:pPr>
        <w:jc w:val="both"/>
        <w:rPr>
          <w:rFonts w:ascii="Lato" w:eastAsia="Lato" w:hAnsi="Lato" w:cs="Lato"/>
          <w:color w:val="000000"/>
          <w:sz w:val="20"/>
        </w:rPr>
      </w:pPr>
      <w:r w:rsidRPr="00327A98">
        <w:rPr>
          <w:rFonts w:ascii="Lato" w:eastAsia="Lato" w:hAnsi="Lato" w:cs="Lato"/>
          <w:color w:val="000000"/>
          <w:sz w:val="20"/>
        </w:rPr>
        <w:t>4. Have not within three years preceding this application had one or more public transactions (Federal, State, or local) terminated for cause or default; and</w:t>
      </w:r>
    </w:p>
    <w:p w14:paraId="40D6F5D7" w14:textId="77777777" w:rsidR="00327A98" w:rsidRPr="00327A98" w:rsidRDefault="00327A98" w:rsidP="00327A98">
      <w:pPr>
        <w:jc w:val="both"/>
        <w:rPr>
          <w:rFonts w:ascii="Lato" w:eastAsia="Lato" w:hAnsi="Lato" w:cs="Lato"/>
          <w:color w:val="404040"/>
          <w:sz w:val="20"/>
        </w:rPr>
      </w:pPr>
      <w:r w:rsidRPr="00327A98">
        <w:rPr>
          <w:rFonts w:ascii="Lato" w:eastAsia="Lato" w:hAnsi="Lato" w:cs="Lato"/>
          <w:color w:val="000000"/>
          <w:sz w:val="20"/>
        </w:rPr>
        <w:t>Where the applicant is unable to certify to any of the statements in this certification, he or she shall attach an explanation to this application.</w:t>
      </w:r>
    </w:p>
    <w:p w14:paraId="11A21EF0" w14:textId="77777777" w:rsidR="00327A98" w:rsidRPr="00327A98" w:rsidRDefault="00327A98" w:rsidP="00327A98">
      <w:pPr>
        <w:spacing w:before="240" w:after="120" w:line="276" w:lineRule="auto"/>
        <w:outlineLvl w:val="1"/>
        <w:rPr>
          <w:rFonts w:ascii="Lato" w:eastAsia="Lato" w:hAnsi="Lato" w:cs="Times New Roman (Body CS)"/>
          <w:b/>
          <w:caps/>
          <w:color w:val="000000"/>
          <w:sz w:val="20"/>
          <w:szCs w:val="18"/>
        </w:rPr>
      </w:pPr>
      <w:bookmarkStart w:id="3" w:name="_Toc102135524"/>
      <w:r w:rsidRPr="00327A98">
        <w:rPr>
          <w:rFonts w:ascii="Lato" w:eastAsia="Lato" w:hAnsi="Lato" w:cs="Times New Roman (Body CS)"/>
          <w:b/>
          <w:caps/>
          <w:color w:val="01599D"/>
          <w:sz w:val="20"/>
          <w:szCs w:val="18"/>
        </w:rPr>
        <w:lastRenderedPageBreak/>
        <w:t xml:space="preserve">Drug-Free </w:t>
      </w:r>
      <w:proofErr w:type="gramStart"/>
      <w:r w:rsidRPr="00327A98">
        <w:rPr>
          <w:rFonts w:ascii="Lato" w:eastAsia="Lato" w:hAnsi="Lato" w:cs="Times New Roman (Body CS)"/>
          <w:b/>
          <w:caps/>
          <w:color w:val="01599D"/>
          <w:sz w:val="20"/>
          <w:szCs w:val="18"/>
        </w:rPr>
        <w:t>Workplace(</w:t>
      </w:r>
      <w:proofErr w:type="gramEnd"/>
      <w:r w:rsidRPr="00327A98">
        <w:rPr>
          <w:rFonts w:ascii="Lato" w:eastAsia="Lato" w:hAnsi="Lato" w:cs="Times New Roman (Body CS)"/>
          <w:b/>
          <w:caps/>
          <w:color w:val="01599D"/>
          <w:sz w:val="20"/>
          <w:szCs w:val="18"/>
        </w:rPr>
        <w:t>Grantees Other than Individuals )</w:t>
      </w:r>
      <w:bookmarkEnd w:id="3"/>
    </w:p>
    <w:p w14:paraId="13898AE6" w14:textId="77777777" w:rsidR="00327A98" w:rsidRPr="00327A98" w:rsidRDefault="00327A98" w:rsidP="00327A98">
      <w:pPr>
        <w:jc w:val="both"/>
        <w:rPr>
          <w:rFonts w:ascii="Lato" w:eastAsia="Lato" w:hAnsi="Lato" w:cs="Lato"/>
          <w:color w:val="000000"/>
          <w:sz w:val="20"/>
        </w:rPr>
      </w:pPr>
      <w:r w:rsidRPr="00327A98">
        <w:rPr>
          <w:rFonts w:ascii="Lato" w:eastAsia="Lato" w:hAnsi="Lato" w:cs="Lato"/>
          <w:color w:val="000000"/>
          <w:sz w:val="20"/>
        </w:rPr>
        <w:t xml:space="preserve">As required by the </w:t>
      </w:r>
      <w:hyperlink r:id="rId10">
        <w:r w:rsidRPr="00327A98">
          <w:rPr>
            <w:rFonts w:ascii="Lato" w:eastAsia="Lato" w:hAnsi="Lato" w:cs="Lato"/>
            <w:color w:val="1155CC"/>
            <w:sz w:val="20"/>
            <w:u w:val="single"/>
          </w:rPr>
          <w:t>Drug-Free Workplace Act of 1988</w:t>
        </w:r>
      </w:hyperlink>
      <w:r w:rsidRPr="00327A98">
        <w:rPr>
          <w:rFonts w:ascii="Lato" w:eastAsia="Lato" w:hAnsi="Lato" w:cs="Lato"/>
          <w:color w:val="000000"/>
          <w:sz w:val="20"/>
        </w:rPr>
        <w:t xml:space="preserve">, and implemented at </w:t>
      </w:r>
      <w:hyperlink r:id="rId11">
        <w:r w:rsidRPr="00327A98">
          <w:rPr>
            <w:rFonts w:ascii="Lato" w:eastAsia="Lato" w:hAnsi="Lato" w:cs="Lato"/>
            <w:color w:val="1155CC"/>
            <w:sz w:val="20"/>
            <w:u w:val="single"/>
          </w:rPr>
          <w:t>34 CFR Part 84, Subpart F</w:t>
        </w:r>
      </w:hyperlink>
      <w:r w:rsidRPr="00327A98">
        <w:rPr>
          <w:rFonts w:ascii="Lato" w:eastAsia="Lato" w:hAnsi="Lato" w:cs="Lato"/>
          <w:color w:val="000000"/>
          <w:sz w:val="20"/>
        </w:rPr>
        <w:t>, for grantees, the applicant will or will continue to provide a drug-free workplace by:</w:t>
      </w:r>
    </w:p>
    <w:p w14:paraId="1EA24564" w14:textId="77777777" w:rsidR="00327A98" w:rsidRPr="00327A98" w:rsidRDefault="00327A98" w:rsidP="00327A98">
      <w:pPr>
        <w:jc w:val="both"/>
        <w:rPr>
          <w:rFonts w:ascii="Lato" w:eastAsia="Lato" w:hAnsi="Lato" w:cs="Lato"/>
          <w:color w:val="000000"/>
          <w:sz w:val="20"/>
        </w:rPr>
      </w:pPr>
      <w:r w:rsidRPr="00327A98">
        <w:rPr>
          <w:rFonts w:ascii="Lato" w:eastAsia="Lato" w:hAnsi="Lato" w:cs="Lato"/>
          <w:color w:val="000000"/>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w:t>
      </w:r>
      <w:proofErr w:type="gramStart"/>
      <w:r w:rsidRPr="00327A98">
        <w:rPr>
          <w:rFonts w:ascii="Lato" w:eastAsia="Lato" w:hAnsi="Lato" w:cs="Lato"/>
          <w:color w:val="000000"/>
          <w:sz w:val="20"/>
        </w:rPr>
        <w:t>prohibition;</w:t>
      </w:r>
      <w:proofErr w:type="gramEnd"/>
    </w:p>
    <w:p w14:paraId="524CCAC5" w14:textId="77777777" w:rsidR="00327A98" w:rsidRPr="00327A98" w:rsidRDefault="00327A98" w:rsidP="00327A98">
      <w:pPr>
        <w:jc w:val="both"/>
        <w:rPr>
          <w:rFonts w:ascii="Lato" w:eastAsia="Lato" w:hAnsi="Lato" w:cs="Lato"/>
          <w:color w:val="000000"/>
          <w:sz w:val="20"/>
        </w:rPr>
      </w:pPr>
      <w:r w:rsidRPr="00327A98">
        <w:rPr>
          <w:rFonts w:ascii="Lato" w:eastAsia="Lato" w:hAnsi="Lato" w:cs="Lato"/>
          <w:color w:val="000000"/>
          <w:sz w:val="20"/>
        </w:rPr>
        <w:t>b. Establishing an ongoing drug-free awareness program to inform employees about:</w:t>
      </w:r>
    </w:p>
    <w:p w14:paraId="670BBF4E" w14:textId="77777777" w:rsidR="00327A98" w:rsidRPr="00327A98" w:rsidRDefault="00327A98" w:rsidP="00327A98">
      <w:pPr>
        <w:ind w:firstLine="720"/>
        <w:jc w:val="both"/>
        <w:rPr>
          <w:rFonts w:ascii="Lato" w:eastAsia="Lato" w:hAnsi="Lato" w:cs="Lato"/>
          <w:color w:val="000000"/>
          <w:sz w:val="20"/>
        </w:rPr>
      </w:pPr>
      <w:r w:rsidRPr="00327A98">
        <w:rPr>
          <w:rFonts w:ascii="Lato" w:eastAsia="Lato" w:hAnsi="Lato" w:cs="Lato"/>
          <w:color w:val="000000"/>
          <w:sz w:val="20"/>
        </w:rPr>
        <w:t>(1) The dangers of drug abuse in the workplace.</w:t>
      </w:r>
    </w:p>
    <w:p w14:paraId="48B70813" w14:textId="77777777" w:rsidR="00327A98" w:rsidRPr="00327A98" w:rsidRDefault="00327A98" w:rsidP="00327A98">
      <w:pPr>
        <w:ind w:firstLine="720"/>
        <w:jc w:val="both"/>
        <w:rPr>
          <w:rFonts w:ascii="Lato" w:eastAsia="Lato" w:hAnsi="Lato" w:cs="Lato"/>
          <w:color w:val="000000"/>
          <w:sz w:val="20"/>
        </w:rPr>
      </w:pPr>
      <w:r w:rsidRPr="00327A98">
        <w:rPr>
          <w:rFonts w:ascii="Lato" w:eastAsia="Lato" w:hAnsi="Lato" w:cs="Lato"/>
          <w:color w:val="000000"/>
          <w:sz w:val="20"/>
        </w:rPr>
        <w:t>(2) The grantee’s policy of maintaining a drug-free workplace.</w:t>
      </w:r>
    </w:p>
    <w:p w14:paraId="30BD9A98" w14:textId="77777777" w:rsidR="00327A98" w:rsidRPr="00327A98" w:rsidRDefault="00327A98" w:rsidP="00327A98">
      <w:pPr>
        <w:ind w:left="720"/>
        <w:jc w:val="both"/>
        <w:rPr>
          <w:rFonts w:ascii="Lato" w:eastAsia="Lato" w:hAnsi="Lato" w:cs="Lato"/>
          <w:color w:val="000000"/>
          <w:sz w:val="20"/>
        </w:rPr>
      </w:pPr>
      <w:r w:rsidRPr="00327A98">
        <w:rPr>
          <w:rFonts w:ascii="Lato" w:eastAsia="Lato" w:hAnsi="Lato" w:cs="Lato"/>
          <w:color w:val="000000"/>
          <w:sz w:val="20"/>
        </w:rPr>
        <w:t>(3) Any available drug counseling, rehabilitation, and employee assistance programs; and</w:t>
      </w:r>
    </w:p>
    <w:p w14:paraId="74E07CF3" w14:textId="77777777" w:rsidR="00327A98" w:rsidRPr="00327A98" w:rsidRDefault="00327A98" w:rsidP="00327A98">
      <w:pPr>
        <w:ind w:left="720"/>
        <w:jc w:val="both"/>
        <w:rPr>
          <w:rFonts w:ascii="Lato" w:eastAsia="Lato" w:hAnsi="Lato" w:cs="Lato"/>
          <w:color w:val="000000"/>
          <w:sz w:val="20"/>
        </w:rPr>
      </w:pPr>
      <w:r w:rsidRPr="00327A98">
        <w:rPr>
          <w:rFonts w:ascii="Lato" w:eastAsia="Lato" w:hAnsi="Lato" w:cs="Lato"/>
          <w:color w:val="000000"/>
          <w:sz w:val="20"/>
        </w:rPr>
        <w:t>(4) The penalties that may be imposed upon employees for drug abuse violations occurring in the workplace.</w:t>
      </w:r>
    </w:p>
    <w:p w14:paraId="63267E45" w14:textId="77777777" w:rsidR="00327A98" w:rsidRPr="00327A98" w:rsidRDefault="00327A98" w:rsidP="00327A98">
      <w:pPr>
        <w:jc w:val="both"/>
        <w:rPr>
          <w:rFonts w:ascii="Lato" w:eastAsia="Lato" w:hAnsi="Lato" w:cs="Lato"/>
          <w:color w:val="000000"/>
          <w:sz w:val="20"/>
        </w:rPr>
      </w:pPr>
      <w:r w:rsidRPr="00327A98">
        <w:rPr>
          <w:rFonts w:ascii="Lato" w:eastAsia="Lato" w:hAnsi="Lato" w:cs="Lato"/>
          <w:color w:val="000000"/>
          <w:sz w:val="20"/>
        </w:rPr>
        <w:t>c. Making it a requirement that each employee to be engaged in the performance of the grant be given a copy of the statement required by paragraph (a</w:t>
      </w:r>
      <w:proofErr w:type="gramStart"/>
      <w:r w:rsidRPr="00327A98">
        <w:rPr>
          <w:rFonts w:ascii="Lato" w:eastAsia="Lato" w:hAnsi="Lato" w:cs="Lato"/>
          <w:color w:val="000000"/>
          <w:sz w:val="20"/>
        </w:rPr>
        <w:t>);</w:t>
      </w:r>
      <w:proofErr w:type="gramEnd"/>
    </w:p>
    <w:p w14:paraId="56C710FB" w14:textId="77777777" w:rsidR="00327A98" w:rsidRPr="00327A98" w:rsidRDefault="00327A98" w:rsidP="00327A98">
      <w:pPr>
        <w:jc w:val="both"/>
        <w:rPr>
          <w:rFonts w:ascii="Lato" w:eastAsia="Lato" w:hAnsi="Lato" w:cs="Lato"/>
          <w:color w:val="000000"/>
          <w:sz w:val="20"/>
        </w:rPr>
      </w:pPr>
      <w:r w:rsidRPr="00327A98">
        <w:rPr>
          <w:rFonts w:ascii="Lato" w:eastAsia="Lato" w:hAnsi="Lato" w:cs="Lato"/>
          <w:color w:val="000000"/>
          <w:sz w:val="20"/>
        </w:rPr>
        <w:t>d. Notifying the employee in the statement required by paragraph (a) that, as a condition of employment under the grant, the employee will:</w:t>
      </w:r>
    </w:p>
    <w:p w14:paraId="2DE346F3" w14:textId="77777777" w:rsidR="00327A98" w:rsidRPr="00327A98" w:rsidRDefault="00327A98" w:rsidP="00327A98">
      <w:pPr>
        <w:ind w:left="720"/>
        <w:jc w:val="both"/>
        <w:rPr>
          <w:rFonts w:ascii="Lato" w:eastAsia="Lato" w:hAnsi="Lato" w:cs="Lato"/>
          <w:color w:val="000000"/>
          <w:sz w:val="20"/>
        </w:rPr>
      </w:pPr>
      <w:r w:rsidRPr="00327A98">
        <w:rPr>
          <w:rFonts w:ascii="Lato" w:eastAsia="Lato" w:hAnsi="Lato" w:cs="Lato"/>
          <w:color w:val="000000"/>
          <w:sz w:val="20"/>
        </w:rPr>
        <w:t>(1) Abide by the terms of the statement; and</w:t>
      </w:r>
    </w:p>
    <w:p w14:paraId="0325A2FC" w14:textId="77777777" w:rsidR="00327A98" w:rsidRPr="00327A98" w:rsidRDefault="00327A98" w:rsidP="00327A98">
      <w:pPr>
        <w:ind w:left="720"/>
        <w:jc w:val="both"/>
        <w:rPr>
          <w:rFonts w:ascii="Lato" w:eastAsia="Lato" w:hAnsi="Lato" w:cs="Lato"/>
          <w:color w:val="000000"/>
          <w:sz w:val="20"/>
        </w:rPr>
      </w:pPr>
      <w:r w:rsidRPr="00327A98">
        <w:rPr>
          <w:rFonts w:ascii="Lato" w:eastAsia="Lato" w:hAnsi="Lato" w:cs="Lato"/>
          <w:color w:val="000000"/>
          <w:sz w:val="20"/>
        </w:rPr>
        <w:t>(2) Notify the employer in writing of his or her conviction for a violation of a criminal drug statute occurring in the workplace no later than five calendar days after such conviction.</w:t>
      </w:r>
    </w:p>
    <w:p w14:paraId="55EA54B1" w14:textId="77777777" w:rsidR="00327A98" w:rsidRPr="00327A98" w:rsidRDefault="00327A98" w:rsidP="00327A98">
      <w:pPr>
        <w:jc w:val="both"/>
        <w:rPr>
          <w:rFonts w:ascii="Lato" w:eastAsia="Lato" w:hAnsi="Lato" w:cs="Lato"/>
          <w:color w:val="000000"/>
          <w:sz w:val="20"/>
        </w:rPr>
      </w:pPr>
      <w:r w:rsidRPr="00327A98">
        <w:rPr>
          <w:rFonts w:ascii="Lato" w:eastAsia="Lato" w:hAnsi="Lato" w:cs="Lato"/>
          <w:color w:val="000000"/>
          <w:sz w:val="20"/>
        </w:rPr>
        <w:t>e. Notifying the agency, in writing, within ten (10) calendar days after receiving notice under subparagraph (d)(2) from an employee or otherwise receiving actual notice of such conviction. Employers of convicted employees must provide notice, including position title, to the Director, Grants Policy and Oversight Staff, U.S. Department of Education, 400 Maryland Avenue, S.W. (Room 3652, GSA Regional Office Building No. 3), Washington, DC 20202­4248. Notice shall include the identification number(s) of each affected grant.</w:t>
      </w:r>
    </w:p>
    <w:p w14:paraId="19BFFE85" w14:textId="77777777" w:rsidR="00327A98" w:rsidRPr="00327A98" w:rsidRDefault="00327A98" w:rsidP="00327A98">
      <w:pPr>
        <w:jc w:val="both"/>
        <w:rPr>
          <w:rFonts w:ascii="Lato" w:eastAsia="Lato" w:hAnsi="Lato" w:cs="Lato"/>
          <w:color w:val="000000"/>
          <w:sz w:val="20"/>
        </w:rPr>
      </w:pPr>
      <w:r w:rsidRPr="00327A98">
        <w:rPr>
          <w:rFonts w:ascii="Lato" w:eastAsia="Lato" w:hAnsi="Lato" w:cs="Lato"/>
          <w:color w:val="000000"/>
          <w:sz w:val="20"/>
        </w:rPr>
        <w:t>f. Taking one of the following actions, within thirty (30) calendar days of receiving notice under subparagraph (d)(2), for any employee who is so convicted:</w:t>
      </w:r>
    </w:p>
    <w:p w14:paraId="7593F43A" w14:textId="77777777" w:rsidR="00327A98" w:rsidRPr="00327A98" w:rsidRDefault="00327A98" w:rsidP="00327A98">
      <w:pPr>
        <w:ind w:left="720" w:firstLine="47"/>
        <w:jc w:val="both"/>
        <w:rPr>
          <w:rFonts w:ascii="Lato" w:eastAsia="Lato" w:hAnsi="Lato" w:cs="Lato"/>
          <w:color w:val="000000"/>
          <w:sz w:val="20"/>
        </w:rPr>
      </w:pPr>
      <w:r w:rsidRPr="00327A98">
        <w:rPr>
          <w:rFonts w:ascii="Lato" w:eastAsia="Lato" w:hAnsi="Lato" w:cs="Lato"/>
          <w:color w:val="000000"/>
          <w:sz w:val="20"/>
        </w:rPr>
        <w:t>(1) Taking appropriate personnel action against such an employee, up to and including termination, consistent with the requirements of the</w:t>
      </w:r>
      <w:hyperlink r:id="rId12">
        <w:r w:rsidRPr="00327A98">
          <w:rPr>
            <w:rFonts w:ascii="Lato" w:eastAsia="Lato" w:hAnsi="Lato" w:cs="Lato"/>
            <w:color w:val="1155CC"/>
            <w:sz w:val="20"/>
            <w:u w:val="single"/>
          </w:rPr>
          <w:t xml:space="preserve"> Rehabilitation Act of 1973</w:t>
        </w:r>
      </w:hyperlink>
      <w:r w:rsidRPr="00327A98">
        <w:rPr>
          <w:rFonts w:ascii="Lato" w:eastAsia="Lato" w:hAnsi="Lato" w:cs="Lato"/>
          <w:color w:val="000000"/>
          <w:sz w:val="20"/>
        </w:rPr>
        <w:t>, as amended; or</w:t>
      </w:r>
    </w:p>
    <w:p w14:paraId="480D52F3" w14:textId="77777777" w:rsidR="00327A98" w:rsidRPr="00327A98" w:rsidRDefault="00327A98" w:rsidP="00327A98">
      <w:pPr>
        <w:ind w:left="720"/>
        <w:jc w:val="both"/>
        <w:rPr>
          <w:rFonts w:ascii="Lato" w:eastAsia="Lato" w:hAnsi="Lato" w:cs="Lato"/>
          <w:color w:val="000000"/>
          <w:sz w:val="20"/>
        </w:rPr>
      </w:pPr>
      <w:r w:rsidRPr="00327A98">
        <w:rPr>
          <w:rFonts w:ascii="Lato" w:eastAsia="Lato" w:hAnsi="Lato" w:cs="Lato"/>
          <w:color w:val="000000"/>
          <w:sz w:val="20"/>
        </w:rPr>
        <w:t>(2) Requiring such employees to participate satisfactorily in a drug abuse assistance or rehabilitation program approved for such purposes by a federal, State, or local health, law enforcement, or other appropriate agency.</w:t>
      </w:r>
    </w:p>
    <w:p w14:paraId="4234141C" w14:textId="77777777" w:rsidR="00327A98" w:rsidRPr="00327A98" w:rsidRDefault="00327A98" w:rsidP="00327A98">
      <w:pPr>
        <w:jc w:val="both"/>
        <w:rPr>
          <w:rFonts w:ascii="Lato" w:eastAsia="Lato" w:hAnsi="Lato" w:cs="Lato"/>
          <w:color w:val="000000"/>
          <w:sz w:val="20"/>
        </w:rPr>
      </w:pPr>
      <w:r w:rsidRPr="00327A98">
        <w:rPr>
          <w:rFonts w:ascii="Lato" w:eastAsia="Lato" w:hAnsi="Lato" w:cs="Lato"/>
          <w:color w:val="000000"/>
          <w:sz w:val="20"/>
        </w:rPr>
        <w:t>g. Making a good faith effort to continue to maintain a drug-free workplace through the implementation of paragraphs (a), (b), (c), (d), (e), and (f).</w:t>
      </w:r>
      <w:r w:rsidRPr="00327A98">
        <w:rPr>
          <w:rFonts w:ascii="Lato" w:eastAsia="Lato" w:hAnsi="Lato" w:cs="Lato"/>
          <w:color w:val="404040"/>
          <w:sz w:val="20"/>
        </w:rPr>
        <w:br w:type="page"/>
      </w:r>
    </w:p>
    <w:p w14:paraId="62F45C39" w14:textId="77777777" w:rsidR="00327A98" w:rsidRPr="00327A98" w:rsidRDefault="00327A98" w:rsidP="00327A98">
      <w:pPr>
        <w:jc w:val="both"/>
        <w:rPr>
          <w:rFonts w:ascii="Lato" w:eastAsia="Lato" w:hAnsi="Lato" w:cs="Lato"/>
          <w:color w:val="000000"/>
          <w:sz w:val="20"/>
        </w:rPr>
      </w:pPr>
    </w:p>
    <w:p w14:paraId="5382DFAE" w14:textId="77777777" w:rsidR="00327A98" w:rsidRPr="00327A98" w:rsidRDefault="00327A98" w:rsidP="00327A98">
      <w:pPr>
        <w:shd w:val="clear" w:color="auto" w:fill="DEEBF6"/>
        <w:jc w:val="both"/>
        <w:outlineLvl w:val="1"/>
        <w:rPr>
          <w:rFonts w:ascii="Lato" w:eastAsia="Lato" w:hAnsi="Lato" w:cs="Times New Roman (Body CS)"/>
          <w:b/>
          <w:caps/>
          <w:color w:val="000000"/>
          <w:sz w:val="20"/>
          <w:szCs w:val="18"/>
        </w:rPr>
      </w:pPr>
      <w:bookmarkStart w:id="4" w:name="_Toc102135525"/>
      <w:r w:rsidRPr="00327A98">
        <w:rPr>
          <w:rFonts w:ascii="Lato" w:eastAsia="Lato" w:hAnsi="Lato" w:cs="Times New Roman (Body CS)"/>
          <w:b/>
          <w:caps/>
          <w:color w:val="01599D"/>
          <w:sz w:val="20"/>
          <w:szCs w:val="18"/>
        </w:rPr>
        <w:t>Certifications</w:t>
      </w:r>
      <w:bookmarkEnd w:id="4"/>
    </w:p>
    <w:p w14:paraId="5ECC0268" w14:textId="77777777" w:rsidR="00327A98" w:rsidRPr="00327A98" w:rsidRDefault="00327A98" w:rsidP="00327A98">
      <w:pPr>
        <w:pBdr>
          <w:bottom w:val="single" w:sz="4" w:space="1" w:color="000000"/>
        </w:pBdr>
        <w:tabs>
          <w:tab w:val="left" w:pos="1980"/>
          <w:tab w:val="left" w:pos="5760"/>
        </w:tabs>
        <w:rPr>
          <w:rFonts w:ascii="Lato" w:eastAsia="Lato" w:hAnsi="Lato" w:cs="Lato"/>
          <w:color w:val="000000"/>
          <w:sz w:val="20"/>
        </w:rPr>
      </w:pPr>
      <w:r w:rsidRPr="00327A98">
        <w:rPr>
          <w:rFonts w:ascii="Lato" w:eastAsia="Lato" w:hAnsi="Lato" w:cs="Lato"/>
          <w:color w:val="000000"/>
          <w:sz w:val="20"/>
        </w:rPr>
        <w:t>The undersigned certify Non-LEA/IHE compliance with the Lobbying, Debarment, Suspension, Other Responsibility Matters, and Drug-Free Workplace requirements.</w:t>
      </w:r>
      <w:r w:rsidRPr="00327A98">
        <w:rPr>
          <w:rFonts w:ascii="Lato" w:eastAsia="Lato" w:hAnsi="Lato" w:cs="Lato"/>
          <w:color w:val="000000"/>
          <w:sz w:val="20"/>
        </w:rPr>
        <w:tab/>
      </w:r>
    </w:p>
    <w:p w14:paraId="538534B5" w14:textId="77777777" w:rsidR="00327A98" w:rsidRPr="00327A98" w:rsidRDefault="00327A98" w:rsidP="00327A98">
      <w:pPr>
        <w:pBdr>
          <w:bottom w:val="single" w:sz="4" w:space="1" w:color="000000"/>
        </w:pBdr>
        <w:tabs>
          <w:tab w:val="left" w:pos="1980"/>
          <w:tab w:val="left" w:pos="5760"/>
        </w:tabs>
        <w:rPr>
          <w:rFonts w:ascii="Lato" w:eastAsia="Lato" w:hAnsi="Lato" w:cs="Lato"/>
          <w:sz w:val="20"/>
        </w:rPr>
      </w:pPr>
    </w:p>
    <w:p w14:paraId="3843F74B" w14:textId="77777777" w:rsidR="00327A98" w:rsidRPr="00327A98" w:rsidRDefault="00327A98" w:rsidP="00327A98">
      <w:pPr>
        <w:pBdr>
          <w:bottom w:val="single" w:sz="4" w:space="1" w:color="000000"/>
        </w:pBdr>
        <w:tabs>
          <w:tab w:val="left" w:pos="3060"/>
          <w:tab w:val="left" w:pos="6480"/>
        </w:tabs>
        <w:rPr>
          <w:rFonts w:ascii="Lato" w:eastAsia="Lato" w:hAnsi="Lato" w:cs="Lato"/>
        </w:rPr>
      </w:pPr>
      <w:sdt>
        <w:sdtPr>
          <w:rPr>
            <w:rFonts w:ascii="Lato" w:eastAsia="Lato" w:hAnsi="Lato" w:cs="Lato"/>
            <w:sz w:val="20"/>
          </w:rPr>
          <w:id w:val="-1703538591"/>
          <w:placeholder>
            <w:docPart w:val="E32C355071A4497CBD8AC7FE1D02E466"/>
          </w:placeholder>
          <w:showingPlcHdr/>
        </w:sdtPr>
        <w:sdtContent>
          <w:r w:rsidRPr="00327A98">
            <w:rPr>
              <w:rFonts w:ascii="Lato" w:eastAsia="Lato" w:hAnsi="Lato" w:cs="Lato"/>
              <w:sz w:val="20"/>
            </w:rPr>
            <w:t>Click or tap here to enter text.</w:t>
          </w:r>
        </w:sdtContent>
      </w:sdt>
      <w:r w:rsidRPr="00327A98">
        <w:rPr>
          <w:rFonts w:ascii="Lato" w:eastAsia="Lato" w:hAnsi="Lato" w:cs="Lato"/>
          <w:sz w:val="20"/>
        </w:rPr>
        <w:tab/>
      </w:r>
      <w:r w:rsidRPr="00327A98">
        <w:rPr>
          <w:rFonts w:ascii="Lato" w:eastAsia="Lato" w:hAnsi="Lato" w:cs="Lato"/>
          <w:sz w:val="24"/>
          <w:szCs w:val="24"/>
        </w:rPr>
        <w:tab/>
      </w:r>
      <w:sdt>
        <w:sdtPr>
          <w:rPr>
            <w:rFonts w:ascii="Lato" w:eastAsia="Lato" w:hAnsi="Lato" w:cs="Lato"/>
            <w:sz w:val="24"/>
            <w:szCs w:val="24"/>
          </w:rPr>
          <w:id w:val="-525413933"/>
          <w:placeholder>
            <w:docPart w:val="97E5A69C338F4D06B0D3CF911F8DA92E"/>
          </w:placeholder>
          <w:showingPlcHdr/>
          <w:date>
            <w:dateFormat w:val="M/d/yyyy"/>
            <w:lid w:val="en-US"/>
            <w:storeMappedDataAs w:val="dateTime"/>
            <w:calendar w:val="gregorian"/>
          </w:date>
        </w:sdtPr>
        <w:sdtContent>
          <w:r w:rsidRPr="00327A98">
            <w:rPr>
              <w:rFonts w:ascii="Lato" w:eastAsia="Lato" w:hAnsi="Lato" w:cs="Lato"/>
              <w:sz w:val="20"/>
            </w:rPr>
            <w:t>Click or tap to enter a date.</w:t>
          </w:r>
        </w:sdtContent>
      </w:sdt>
    </w:p>
    <w:p w14:paraId="2272D589" w14:textId="77777777" w:rsidR="00327A98" w:rsidRPr="00327A98" w:rsidRDefault="00327A98" w:rsidP="00327A98">
      <w:pPr>
        <w:tabs>
          <w:tab w:val="left" w:pos="3600"/>
          <w:tab w:val="left" w:pos="6840"/>
        </w:tabs>
        <w:spacing w:after="0" w:line="240" w:lineRule="auto"/>
        <w:rPr>
          <w:rFonts w:ascii="Lato" w:eastAsia="Lato" w:hAnsi="Lato" w:cs="Lato"/>
          <w:bCs/>
          <w:sz w:val="20"/>
          <w:szCs w:val="20"/>
        </w:rPr>
      </w:pPr>
      <w:r w:rsidRPr="00327A98">
        <w:rPr>
          <w:rFonts w:ascii="Lato" w:eastAsia="Lato" w:hAnsi="Lato" w:cs="Lato"/>
          <w:bCs/>
          <w:sz w:val="20"/>
          <w:szCs w:val="20"/>
        </w:rPr>
        <w:t xml:space="preserve">Project Director &amp; Title </w:t>
      </w:r>
      <w:r w:rsidRPr="00327A98">
        <w:rPr>
          <w:rFonts w:ascii="Lato" w:eastAsia="Lato" w:hAnsi="Lato" w:cs="Lato"/>
          <w:bCs/>
          <w:sz w:val="20"/>
          <w:szCs w:val="20"/>
        </w:rPr>
        <w:tab/>
        <w:t>Signature</w:t>
      </w:r>
      <w:r w:rsidRPr="00327A98">
        <w:rPr>
          <w:rFonts w:ascii="Lato" w:eastAsia="Lato" w:hAnsi="Lato" w:cs="Lato"/>
          <w:bCs/>
          <w:sz w:val="20"/>
          <w:szCs w:val="20"/>
        </w:rPr>
        <w:tab/>
        <w:t>Date</w:t>
      </w:r>
    </w:p>
    <w:p w14:paraId="2A76A1B7" w14:textId="77777777" w:rsidR="00327A98" w:rsidRPr="00327A98" w:rsidRDefault="00327A98" w:rsidP="00327A98">
      <w:pPr>
        <w:tabs>
          <w:tab w:val="left" w:pos="3600"/>
          <w:tab w:val="left" w:pos="6840"/>
        </w:tabs>
        <w:spacing w:after="0" w:line="240" w:lineRule="auto"/>
        <w:rPr>
          <w:rFonts w:ascii="Lato" w:eastAsia="Lato" w:hAnsi="Lato" w:cs="Lato"/>
          <w:b/>
          <w:vertAlign w:val="subscript"/>
        </w:rPr>
      </w:pPr>
    </w:p>
    <w:p w14:paraId="2426C51F" w14:textId="77777777" w:rsidR="00327A98" w:rsidRPr="00327A98" w:rsidRDefault="00327A98" w:rsidP="00327A98">
      <w:pPr>
        <w:pBdr>
          <w:bottom w:val="single" w:sz="4" w:space="1" w:color="000000"/>
        </w:pBdr>
        <w:tabs>
          <w:tab w:val="left" w:pos="3060"/>
          <w:tab w:val="left" w:pos="6480"/>
        </w:tabs>
        <w:rPr>
          <w:rFonts w:ascii="Lato" w:eastAsia="Lato" w:hAnsi="Lato" w:cs="Lato"/>
        </w:rPr>
      </w:pPr>
      <w:sdt>
        <w:sdtPr>
          <w:rPr>
            <w:rFonts w:ascii="Lato" w:eastAsia="Lato" w:hAnsi="Lato" w:cs="Lato"/>
            <w:sz w:val="20"/>
          </w:rPr>
          <w:id w:val="964618623"/>
          <w:placeholder>
            <w:docPart w:val="E32C355071A4497CBD8AC7FE1D02E466"/>
          </w:placeholder>
          <w:showingPlcHdr/>
        </w:sdtPr>
        <w:sdtContent>
          <w:r w:rsidRPr="00327A98">
            <w:rPr>
              <w:rFonts w:ascii="Lato" w:eastAsia="Lato" w:hAnsi="Lato" w:cs="Lato"/>
              <w:sz w:val="20"/>
            </w:rPr>
            <w:t>Click or tap here to enter text.</w:t>
          </w:r>
        </w:sdtContent>
      </w:sdt>
      <w:r w:rsidRPr="00327A98">
        <w:rPr>
          <w:rFonts w:ascii="Lato" w:eastAsia="Lato" w:hAnsi="Lato" w:cs="Lato"/>
          <w:sz w:val="20"/>
        </w:rPr>
        <w:tab/>
      </w:r>
      <w:r w:rsidRPr="00327A98">
        <w:rPr>
          <w:rFonts w:ascii="Lato" w:eastAsia="Lato" w:hAnsi="Lato" w:cs="Lato"/>
          <w:sz w:val="24"/>
          <w:szCs w:val="24"/>
        </w:rPr>
        <w:tab/>
      </w:r>
      <w:sdt>
        <w:sdtPr>
          <w:rPr>
            <w:rFonts w:ascii="Lato" w:eastAsia="Lato" w:hAnsi="Lato" w:cs="Lato"/>
            <w:sz w:val="24"/>
            <w:szCs w:val="24"/>
          </w:rPr>
          <w:id w:val="-193621212"/>
          <w:placeholder>
            <w:docPart w:val="97E5A69C338F4D06B0D3CF911F8DA92E"/>
          </w:placeholder>
          <w:showingPlcHdr/>
          <w:date>
            <w:dateFormat w:val="M/d/yyyy"/>
            <w:lid w:val="en-US"/>
            <w:storeMappedDataAs w:val="dateTime"/>
            <w:calendar w:val="gregorian"/>
          </w:date>
        </w:sdtPr>
        <w:sdtContent>
          <w:r w:rsidRPr="00327A98">
            <w:rPr>
              <w:rFonts w:ascii="Lato" w:eastAsia="Lato" w:hAnsi="Lato" w:cs="Lato"/>
              <w:sz w:val="20"/>
            </w:rPr>
            <w:t>Click or tap to enter a date.</w:t>
          </w:r>
        </w:sdtContent>
      </w:sdt>
    </w:p>
    <w:p w14:paraId="7E64EF5B" w14:textId="77777777" w:rsidR="00327A98" w:rsidRPr="00327A98" w:rsidRDefault="00327A98" w:rsidP="00327A98">
      <w:pPr>
        <w:tabs>
          <w:tab w:val="left" w:pos="3600"/>
          <w:tab w:val="left" w:pos="6840"/>
        </w:tabs>
        <w:spacing w:after="0" w:line="240" w:lineRule="auto"/>
        <w:rPr>
          <w:rFonts w:ascii="Lato" w:eastAsia="Lato" w:hAnsi="Lato" w:cs="Lato"/>
          <w:bCs/>
          <w:color w:val="000000"/>
          <w:sz w:val="20"/>
          <w:szCs w:val="20"/>
        </w:rPr>
      </w:pPr>
      <w:r w:rsidRPr="00327A98">
        <w:rPr>
          <w:rFonts w:ascii="Lato" w:eastAsia="Lato" w:hAnsi="Lato" w:cs="Lato"/>
          <w:bCs/>
          <w:color w:val="000000"/>
          <w:sz w:val="20"/>
          <w:szCs w:val="20"/>
        </w:rPr>
        <w:t>Finance Officer</w:t>
      </w:r>
      <w:r w:rsidRPr="00327A98">
        <w:rPr>
          <w:rFonts w:ascii="Lato" w:eastAsia="Lato" w:hAnsi="Lato" w:cs="Lato"/>
          <w:bCs/>
          <w:color w:val="000000"/>
          <w:sz w:val="20"/>
          <w:szCs w:val="20"/>
        </w:rPr>
        <w:tab/>
        <w:t>Signature</w:t>
      </w:r>
      <w:r w:rsidRPr="00327A98">
        <w:rPr>
          <w:rFonts w:ascii="Lato" w:eastAsia="Lato" w:hAnsi="Lato" w:cs="Lato"/>
          <w:bCs/>
          <w:color w:val="000000"/>
          <w:sz w:val="20"/>
          <w:szCs w:val="20"/>
        </w:rPr>
        <w:tab/>
        <w:t>Date</w:t>
      </w:r>
    </w:p>
    <w:p w14:paraId="013F5FA3" w14:textId="77777777" w:rsidR="00327A98" w:rsidRPr="00327A98" w:rsidRDefault="00327A98" w:rsidP="00327A98">
      <w:pPr>
        <w:tabs>
          <w:tab w:val="left" w:pos="3420"/>
          <w:tab w:val="left" w:pos="6840"/>
        </w:tabs>
        <w:rPr>
          <w:rFonts w:ascii="Lato" w:eastAsia="Lato" w:hAnsi="Lato" w:cs="Lato"/>
          <w:bCs/>
          <w:color w:val="000000"/>
          <w:sz w:val="20"/>
          <w:szCs w:val="20"/>
        </w:rPr>
      </w:pPr>
    </w:p>
    <w:p w14:paraId="69F40F42" w14:textId="165ADE63" w:rsidR="00327A98" w:rsidRPr="00327A98" w:rsidRDefault="00327A98" w:rsidP="00327A98">
      <w:pPr>
        <w:spacing w:before="120" w:after="200" w:line="240" w:lineRule="auto"/>
        <w:outlineLvl w:val="0"/>
        <w:rPr>
          <w:rFonts w:ascii="Lato" w:eastAsia="Lato" w:hAnsi="Lato" w:cs="Lato"/>
          <w:b/>
          <w:color w:val="01599D"/>
          <w:sz w:val="36"/>
          <w:szCs w:val="21"/>
        </w:rPr>
      </w:pPr>
    </w:p>
    <w:sectPr w:rsidR="00327A98" w:rsidRPr="00327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A98"/>
    <w:rsid w:val="0032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946EC"/>
  <w15:chartTrackingRefBased/>
  <w15:docId w15:val="{CA610E88-2FA0-464B-8E7E-A33B28B8B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12/03/28/2012-7358/implementation-of-omb-guidance-on-nonprocurement-debarment-and-suspension" TargetMode="Externa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federalregister.gov/documents/2012/03/28/2012-7358/implementation-of-omb-guidance-on-nonprocurement-debarment-and-suspension" TargetMode="External"/><Relationship Id="rId12" Type="http://schemas.openxmlformats.org/officeDocument/2006/relationships/hyperlink" Target="https://www.eeoc.gov/statutes/rehabilitation-act-1973"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www.ecfr.gov/current/title-34/section-82.110" TargetMode="External"/><Relationship Id="rId11" Type="http://schemas.openxmlformats.org/officeDocument/2006/relationships/hyperlink" Target="https://www.ecfr.gov/current/title-34/subtitle-A/part-84/subpart-F" TargetMode="External"/><Relationship Id="rId5" Type="http://schemas.openxmlformats.org/officeDocument/2006/relationships/hyperlink" Target="https://www.ecfr.gov/current/title-34/section-82.105" TargetMode="External"/><Relationship Id="rId15" Type="http://schemas.openxmlformats.org/officeDocument/2006/relationships/theme" Target="theme/theme1.xml"/><Relationship Id="rId10" Type="http://schemas.openxmlformats.org/officeDocument/2006/relationships/hyperlink" Target="https://www.congress.gov/bill/100th-congress/house-bill/4719" TargetMode="External"/><Relationship Id="rId4" Type="http://schemas.openxmlformats.org/officeDocument/2006/relationships/hyperlink" Target="https://www.ecfr.gov/current/title-34/subtitle-A/part-82" TargetMode="External"/><Relationship Id="rId9" Type="http://schemas.openxmlformats.org/officeDocument/2006/relationships/hyperlink" Target="https://www.ecfr.gov/current/title-2/subtitle-A/chapter-I/part-180/subpart-C"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2C355071A4497CBD8AC7FE1D02E466"/>
        <w:category>
          <w:name w:val="General"/>
          <w:gallery w:val="placeholder"/>
        </w:category>
        <w:types>
          <w:type w:val="bbPlcHdr"/>
        </w:types>
        <w:behaviors>
          <w:behavior w:val="content"/>
        </w:behaviors>
        <w:guid w:val="{131BF761-93E4-469F-9EBE-65BFDD8B560A}"/>
      </w:docPartPr>
      <w:docPartBody>
        <w:p w:rsidR="00000000" w:rsidRDefault="007B180A" w:rsidP="007B180A">
          <w:pPr>
            <w:pStyle w:val="E32C355071A4497CBD8AC7FE1D02E466"/>
          </w:pPr>
          <w:r w:rsidRPr="00F50C66">
            <w:rPr>
              <w:rStyle w:val="PlaceholderText"/>
            </w:rPr>
            <w:t>Click or tap here to enter text.</w:t>
          </w:r>
        </w:p>
      </w:docPartBody>
    </w:docPart>
    <w:docPart>
      <w:docPartPr>
        <w:name w:val="97E5A69C338F4D06B0D3CF911F8DA92E"/>
        <w:category>
          <w:name w:val="General"/>
          <w:gallery w:val="placeholder"/>
        </w:category>
        <w:types>
          <w:type w:val="bbPlcHdr"/>
        </w:types>
        <w:behaviors>
          <w:behavior w:val="content"/>
        </w:behaviors>
        <w:guid w:val="{7C0F6462-8A4B-4F76-8849-8A422F76E3FE}"/>
      </w:docPartPr>
      <w:docPartBody>
        <w:p w:rsidR="00000000" w:rsidRDefault="007B180A" w:rsidP="007B180A">
          <w:pPr>
            <w:pStyle w:val="97E5A69C338F4D06B0D3CF911F8DA92E"/>
          </w:pPr>
          <w:r w:rsidRPr="00F50C6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80A"/>
    <w:rsid w:val="007B1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80A"/>
    <w:rPr>
      <w:color w:val="808080"/>
    </w:rPr>
  </w:style>
  <w:style w:type="paragraph" w:customStyle="1" w:styleId="E32C355071A4497CBD8AC7FE1D02E466">
    <w:name w:val="E32C355071A4497CBD8AC7FE1D02E466"/>
    <w:rsid w:val="007B180A"/>
  </w:style>
  <w:style w:type="paragraph" w:customStyle="1" w:styleId="97E5A69C338F4D06B0D3CF911F8DA92E">
    <w:name w:val="97E5A69C338F4D06B0D3CF911F8DA92E"/>
    <w:rsid w:val="007B18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75BB8D-1500-4251-9A66-2700C1F8A7D2}"/>
</file>

<file path=customXml/itemProps2.xml><?xml version="1.0" encoding="utf-8"?>
<ds:datastoreItem xmlns:ds="http://schemas.openxmlformats.org/officeDocument/2006/customXml" ds:itemID="{A0CA4F3F-6798-427F-8EC1-B5A185C74436}"/>
</file>

<file path=customXml/itemProps3.xml><?xml version="1.0" encoding="utf-8"?>
<ds:datastoreItem xmlns:ds="http://schemas.openxmlformats.org/officeDocument/2006/customXml" ds:itemID="{A3839358-BE36-4504-A152-D5E86A6CE6FE}"/>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6407</Characters>
  <Application>Microsoft Office Word</Application>
  <DocSecurity>0</DocSecurity>
  <Lines>53</Lines>
  <Paragraphs>15</Paragraphs>
  <ScaleCrop>false</ScaleCrop>
  <Company>Maryland Department of Information Technology</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Palmer</dc:creator>
  <cp:keywords/>
  <dc:description/>
  <cp:lastModifiedBy>Alicia Palmer</cp:lastModifiedBy>
  <cp:revision>1</cp:revision>
  <dcterms:created xsi:type="dcterms:W3CDTF">2022-05-17T14:42:00Z</dcterms:created>
  <dcterms:modified xsi:type="dcterms:W3CDTF">2022-05-17T14:43:00Z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